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C1AB" w14:textId="77777777" w:rsidR="00AD655C" w:rsidRDefault="00F54694">
      <w:pPr>
        <w:pStyle w:val="ListeParagraf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AMAÇ</w:t>
      </w:r>
    </w:p>
    <w:p w14:paraId="798CBEE5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kılavuzun amacı, Başkent Üniversitesinde yürütülen süreçlerin planlanması, uygulanması, izlenmesi ve güncellenmesine ilişkin esasları belirlemektir. Süreçlerin standart bir yapıda tanımlanması, görev ve </w:t>
      </w:r>
      <w:r>
        <w:rPr>
          <w:rFonts w:ascii="Times New Roman" w:hAnsi="Times New Roman" w:cs="Times New Roman"/>
          <w:sz w:val="24"/>
          <w:szCs w:val="24"/>
        </w:rPr>
        <w:t>sorumlulukların açıklığa kavuşturulması ve süreçler arası etkileşimin sağlanması amaçlanmaktadır. Böylece kurumsal faaliyetlerin etkin, izlenebilir ve sürekli iyileştirmeye açık bir yapıda yürütülmesi hedeflenmektedir.</w:t>
      </w:r>
    </w:p>
    <w:p w14:paraId="2784481C" w14:textId="77777777" w:rsidR="00AD655C" w:rsidRDefault="00F54694">
      <w:pPr>
        <w:pStyle w:val="ListeParagraf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18CF29D3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kılavuz, Başkent Üniversite</w:t>
      </w:r>
      <w:r>
        <w:rPr>
          <w:rFonts w:ascii="Times New Roman" w:hAnsi="Times New Roman" w:cs="Times New Roman"/>
          <w:sz w:val="24"/>
          <w:szCs w:val="24"/>
        </w:rPr>
        <w:t>sinin yönetim, eğitim-öğretim, araştırma-geliştirme ve toplumsal katkı ana süreçleri ile bunlara bağlı alt süreçleri kapsamaktadır. Akademik ve idari birimlerin süreç planlarını oluşturma, uygulama, izleme, değerlendirme ve güncelleme çalışmalarına ilişkin</w:t>
      </w:r>
      <w:r>
        <w:rPr>
          <w:rFonts w:ascii="Times New Roman" w:hAnsi="Times New Roman" w:cs="Times New Roman"/>
          <w:sz w:val="24"/>
          <w:szCs w:val="24"/>
        </w:rPr>
        <w:t xml:space="preserve"> esasları içermektedir.</w:t>
      </w:r>
    </w:p>
    <w:p w14:paraId="5E843A59" w14:textId="77777777" w:rsidR="00AD655C" w:rsidRDefault="00F54694">
      <w:pPr>
        <w:pStyle w:val="ListeParagraf"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11BF591A" w14:textId="77777777" w:rsidR="00AD655C" w:rsidRDefault="00AD655C">
      <w:pPr>
        <w:pStyle w:val="ListeParagraf"/>
        <w:spacing w:after="0"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C9FC14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kılavuzun hazırlanması, uygulanmasının koordinasyonu ve güncelliğinin takip edilmesinden Kalite ve Akreditasyon Koordinatörlüğü (BÜKAK) sorumludur.</w:t>
      </w:r>
    </w:p>
    <w:p w14:paraId="03D88FF8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Süreç planlarının ilgili akademik ve idari birimlerle </w:t>
      </w:r>
      <w:r>
        <w:rPr>
          <w:rFonts w:ascii="Times New Roman" w:hAnsi="Times New Roman" w:cs="Times New Roman"/>
          <w:sz w:val="24"/>
          <w:szCs w:val="24"/>
        </w:rPr>
        <w:t>koordineli olarak hazırlanmasından ve güncellenmesinden BÜKAK sorumludur.</w:t>
      </w:r>
    </w:p>
    <w:p w14:paraId="2617C495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İlgili akademik ve idari birimler, süreç planlarının uygulanmasından, faaliyetlerin izlenmesinden ve güncelleme ihtiyaçlarının </w:t>
      </w:r>
      <w:proofErr w:type="spellStart"/>
      <w:r>
        <w:rPr>
          <w:rFonts w:ascii="Times New Roman" w:hAnsi="Times New Roman" w:cs="Times New Roman"/>
          <w:sz w:val="24"/>
          <w:szCs w:val="24"/>
        </w:rPr>
        <w:t>BÜKAK'a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bildirilmesinden sorumludur.</w:t>
      </w:r>
    </w:p>
    <w:p w14:paraId="78DD5766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Birim kalite sorum</w:t>
      </w:r>
      <w:r>
        <w:rPr>
          <w:rFonts w:ascii="Times New Roman" w:hAnsi="Times New Roman" w:cs="Times New Roman"/>
          <w:sz w:val="24"/>
          <w:szCs w:val="24"/>
        </w:rPr>
        <w:t>luları, süreç planlarının uygulanmasını takip eder ve tespit edilen iyileştirme ihtiyaçlarını birim yöneticilerine bildirir.</w:t>
      </w:r>
    </w:p>
    <w:p w14:paraId="5E6EEB00" w14:textId="77777777" w:rsidR="00AD655C" w:rsidRDefault="00AD655C">
      <w:pPr>
        <w:pStyle w:val="ListeParagraf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03A3E15" w14:textId="77777777" w:rsidR="00AD655C" w:rsidRDefault="00F54694">
      <w:pPr>
        <w:pStyle w:val="ListeParagraf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TANIMLAR</w:t>
      </w:r>
    </w:p>
    <w:p w14:paraId="356C98BA" w14:textId="77777777" w:rsidR="00AD655C" w:rsidRDefault="00AD655C">
      <w:pPr>
        <w:pStyle w:val="ListeParagraf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22BDD08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Süreç:</w:t>
      </w:r>
      <w:r>
        <w:rPr>
          <w:rFonts w:ascii="Times New Roman" w:hAnsi="Times New Roman" w:cs="Times New Roman"/>
          <w:sz w:val="24"/>
          <w:szCs w:val="24"/>
        </w:rPr>
        <w:t xml:space="preserve"> Belirli bir amaca ulaşmak için girdileri çıktılara dönüştüren, birbiriyle ilişkili faaliyetler bütünüdür.</w:t>
      </w:r>
    </w:p>
    <w:p w14:paraId="07CB3DFF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Ana Sür</w:t>
      </w:r>
      <w:r>
        <w:rPr>
          <w:rFonts w:ascii="Times New Roman" w:hAnsi="Times New Roman" w:cs="Times New Roman"/>
          <w:b/>
          <w:bCs/>
          <w:sz w:val="24"/>
          <w:szCs w:val="24"/>
        </w:rPr>
        <w:t>eç:</w:t>
      </w:r>
      <w:r>
        <w:rPr>
          <w:rFonts w:ascii="Times New Roman" w:hAnsi="Times New Roman" w:cs="Times New Roman"/>
          <w:sz w:val="24"/>
          <w:szCs w:val="24"/>
        </w:rPr>
        <w:t xml:space="preserve"> Üniversitenin temel faaliyet alanlarını ve stratejik hedeflerini kapsayan üst düzey süreçtir.</w:t>
      </w:r>
    </w:p>
    <w:p w14:paraId="1B161B0F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Alt Süreç:</w:t>
      </w:r>
      <w:r>
        <w:rPr>
          <w:rFonts w:ascii="Times New Roman" w:hAnsi="Times New Roman" w:cs="Times New Roman"/>
          <w:sz w:val="24"/>
          <w:szCs w:val="24"/>
        </w:rPr>
        <w:t xml:space="preserve"> Ana süreç kapsamında yürütülen faaliyetlerin daha ayrıntılı olarak tanımlandığı süreçtir.</w:t>
      </w:r>
    </w:p>
    <w:p w14:paraId="3A18C380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Planı:</w:t>
      </w:r>
      <w:r>
        <w:rPr>
          <w:rFonts w:ascii="Times New Roman" w:hAnsi="Times New Roman" w:cs="Times New Roman"/>
          <w:sz w:val="24"/>
          <w:szCs w:val="24"/>
        </w:rPr>
        <w:t xml:space="preserve"> Bir sürecin amacını, girdilerini, çıktıların</w:t>
      </w:r>
      <w:r>
        <w:rPr>
          <w:rFonts w:ascii="Times New Roman" w:hAnsi="Times New Roman" w:cs="Times New Roman"/>
          <w:sz w:val="24"/>
          <w:szCs w:val="24"/>
        </w:rPr>
        <w:t>ı, sorumlularını, faaliyetlerini ve izleme yöntemlerini tanımlayan dokümandır.</w:t>
      </w:r>
    </w:p>
    <w:p w14:paraId="6310D00D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Kartı:</w:t>
      </w:r>
      <w:r>
        <w:rPr>
          <w:rFonts w:ascii="Times New Roman" w:hAnsi="Times New Roman" w:cs="Times New Roman"/>
          <w:sz w:val="24"/>
          <w:szCs w:val="24"/>
        </w:rPr>
        <w:t xml:space="preserve"> Sürecin temel özelliklerini, faaliyetlerini, sorumluluklarını ve işleyişini gösteren dokümandır.</w:t>
      </w:r>
    </w:p>
    <w:p w14:paraId="170A78AA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Süreç Girdisi:</w:t>
      </w:r>
      <w:r>
        <w:rPr>
          <w:rFonts w:ascii="Times New Roman" w:hAnsi="Times New Roman" w:cs="Times New Roman"/>
          <w:sz w:val="24"/>
          <w:szCs w:val="24"/>
        </w:rPr>
        <w:t xml:space="preserve"> Sürecin yürütülmesi için gerekli olan bilgi, belge, </w:t>
      </w:r>
      <w:r>
        <w:rPr>
          <w:rFonts w:ascii="Times New Roman" w:hAnsi="Times New Roman" w:cs="Times New Roman"/>
          <w:sz w:val="24"/>
          <w:szCs w:val="24"/>
        </w:rPr>
        <w:t>insan kaynağı, malzeme ve diğer kaynaklardır.</w:t>
      </w:r>
    </w:p>
    <w:p w14:paraId="07C3C17E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Çıktısı:</w:t>
      </w:r>
      <w:r>
        <w:rPr>
          <w:rFonts w:ascii="Times New Roman" w:hAnsi="Times New Roman" w:cs="Times New Roman"/>
          <w:sz w:val="24"/>
          <w:szCs w:val="24"/>
        </w:rPr>
        <w:t xml:space="preserve"> Süreç faaliyetleri sonucunda ortaya çıkan ürün, hizmet, bilgi veya belgedir.</w:t>
      </w:r>
    </w:p>
    <w:p w14:paraId="7BE2A6EF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Etkileşimi:</w:t>
      </w:r>
      <w:r>
        <w:rPr>
          <w:rFonts w:ascii="Times New Roman" w:hAnsi="Times New Roman" w:cs="Times New Roman"/>
          <w:sz w:val="24"/>
          <w:szCs w:val="24"/>
        </w:rPr>
        <w:t xml:space="preserve"> Bir sürecin girdileri, çıktıları veya faaliyetleri aracılığıyla diğer süreçlerle kurduğu ilişkidir.</w:t>
      </w:r>
    </w:p>
    <w:p w14:paraId="412B0673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Performans Göstergesi:</w:t>
      </w:r>
      <w:r>
        <w:rPr>
          <w:rFonts w:ascii="Times New Roman" w:hAnsi="Times New Roman" w:cs="Times New Roman"/>
          <w:sz w:val="24"/>
          <w:szCs w:val="24"/>
        </w:rPr>
        <w:t xml:space="preserve"> Sürecin hedeflerine ulaşma düzeyini ölçmek ve değerlendirmek amacıyla kullanılan ölçüttür.</w:t>
      </w:r>
    </w:p>
    <w:p w14:paraId="2AA34BB6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İyileştirme:</w:t>
      </w:r>
      <w:r>
        <w:rPr>
          <w:rFonts w:ascii="Times New Roman" w:hAnsi="Times New Roman" w:cs="Times New Roman"/>
          <w:sz w:val="24"/>
          <w:szCs w:val="24"/>
        </w:rPr>
        <w:t xml:space="preserve"> İzleme ve değerlendirme sonuçlarına göre süreçlerin etkinliğini artırmaya yönelik gerçekleştirilen düzenleme ve geliştirme </w:t>
      </w:r>
      <w:r>
        <w:rPr>
          <w:rFonts w:ascii="Times New Roman" w:hAnsi="Times New Roman" w:cs="Times New Roman"/>
          <w:sz w:val="24"/>
          <w:szCs w:val="24"/>
        </w:rPr>
        <w:t>faaliyetleridir.</w:t>
      </w:r>
    </w:p>
    <w:p w14:paraId="559C481A" w14:textId="77777777" w:rsidR="00AD655C" w:rsidRDefault="00AD655C">
      <w:pPr>
        <w:pStyle w:val="ListeParagraf"/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786F61E" w14:textId="77777777" w:rsidR="00AD655C" w:rsidRDefault="00F54694">
      <w:pPr>
        <w:pStyle w:val="ListeParagraf"/>
        <w:numPr>
          <w:ilvl w:val="0"/>
          <w:numId w:val="1"/>
        </w:numPr>
        <w:spacing w:before="240"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UYGULAMA</w:t>
      </w:r>
    </w:p>
    <w:p w14:paraId="3F9CD396" w14:textId="77777777" w:rsidR="00AD655C" w:rsidRDefault="00AD655C">
      <w:pPr>
        <w:pStyle w:val="ListeParagraf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E6DF08A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Planının Oluşturulması</w:t>
      </w:r>
    </w:p>
    <w:p w14:paraId="5AB1D02C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Başkent Üniversitesinde süreç planları, Süreç Yönetimi El Kitabında tanımlanan ana süreçler ve alt süreçler esas alınarak hazırlanır. Süreçlerin oluşturulmasında üniversitenin stratejik </w:t>
      </w:r>
      <w:r>
        <w:rPr>
          <w:rFonts w:ascii="Times New Roman" w:hAnsi="Times New Roman" w:cs="Times New Roman"/>
          <w:bCs/>
          <w:sz w:val="24"/>
          <w:szCs w:val="24"/>
        </w:rPr>
        <w:t>hedefleri, kurumsal politikaları, ilgili mevzuat ve kalite yönetim sistemi gereklilikleri dikkate alınır.</w:t>
      </w:r>
    </w:p>
    <w:p w14:paraId="728C1381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Süreç planları, Kalite ve Akreditasyon Koordinatörlüğü (BÜKAK) tarafından ilgili akademik ve idari birimlerle koordineli olarak hazırlanır. Hazırlık s</w:t>
      </w:r>
      <w:r>
        <w:rPr>
          <w:rFonts w:ascii="Times New Roman" w:hAnsi="Times New Roman" w:cs="Times New Roman"/>
          <w:bCs/>
          <w:sz w:val="24"/>
          <w:szCs w:val="24"/>
        </w:rPr>
        <w:t>ürecinde sürecin amacı, kapsamı, sorumluları, faaliyetleri, girdileri ve çıktıları belirlenir. Süreçler arası ilişkiler, performans göstergeleri, riskler ve fırsatlar değerlendirilir.</w:t>
      </w:r>
    </w:p>
    <w:p w14:paraId="02D52ECF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Hazırlanan süreç planlarının mevcut süreç kartları, iş akışları, görev t</w:t>
      </w:r>
      <w:r>
        <w:rPr>
          <w:rFonts w:ascii="Times New Roman" w:hAnsi="Times New Roman" w:cs="Times New Roman"/>
          <w:bCs/>
          <w:sz w:val="24"/>
          <w:szCs w:val="24"/>
        </w:rPr>
        <w:t>anımları ve kurumsal düzenlemelerle uyumu kontrol edilir. Eksik veya güncellenmesi gereken bilgiler ilgili birimlerle görüşülerek tamamlanır. Süreçlerin PUKÖ döngüsüne uygun, uygulanabilir ve izlenebilir bir yapıda oluşturulması sağlanır.</w:t>
      </w:r>
    </w:p>
    <w:p w14:paraId="477160E3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Planının Un</w:t>
      </w:r>
      <w:r>
        <w:rPr>
          <w:rFonts w:ascii="Times New Roman" w:hAnsi="Times New Roman" w:cs="Times New Roman"/>
          <w:b/>
          <w:bCs/>
          <w:sz w:val="24"/>
          <w:szCs w:val="24"/>
        </w:rPr>
        <w:t>surları</w:t>
      </w:r>
    </w:p>
    <w:p w14:paraId="639ECC51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Süreç planları, Başkent Üniversitesi Süreç Yönetimi El Kitabında tanımlanan süreç tanıtım kartları esas alınarak hazırlanır. Bu kapsamda süreçlere ilişkin aşağıdaki bilgilere yer verilir:</w:t>
      </w:r>
    </w:p>
    <w:p w14:paraId="5E1126D3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Adı</w:t>
      </w:r>
    </w:p>
    <w:p w14:paraId="530B5FF7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Tipi</w:t>
      </w:r>
    </w:p>
    <w:p w14:paraId="766D7579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Sahibi</w:t>
      </w:r>
    </w:p>
    <w:p w14:paraId="60408EA1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Uygulayıcıla</w:t>
      </w:r>
      <w:r>
        <w:rPr>
          <w:rFonts w:ascii="Times New Roman" w:hAnsi="Times New Roman" w:cs="Times New Roman"/>
          <w:bCs/>
          <w:sz w:val="24"/>
          <w:szCs w:val="24"/>
        </w:rPr>
        <w:t>rı</w:t>
      </w:r>
    </w:p>
    <w:p w14:paraId="27AC9114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Kapsamı ve Amacı</w:t>
      </w:r>
    </w:p>
    <w:p w14:paraId="224676E5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Etkilediği Süreç</w:t>
      </w:r>
    </w:p>
    <w:p w14:paraId="044C05BD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Etkilendiği Süreç</w:t>
      </w:r>
    </w:p>
    <w:p w14:paraId="7384CF44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Alt Süreçleri</w:t>
      </w:r>
    </w:p>
    <w:p w14:paraId="491058F7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İzleme Yöntemi</w:t>
      </w:r>
    </w:p>
    <w:p w14:paraId="1331DFEA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Gözden Geçirme Periyodu</w:t>
      </w:r>
    </w:p>
    <w:p w14:paraId="7B67C1DC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Performans Göstergeleri</w:t>
      </w:r>
    </w:p>
    <w:p w14:paraId="56851B6B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Süreçlerin Akış Planları</w:t>
      </w:r>
    </w:p>
    <w:p w14:paraId="4B79B382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Süreçlerin Faaliyetleri</w:t>
      </w:r>
    </w:p>
    <w:p w14:paraId="16E861B0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PUKÖ Döngüsü</w:t>
      </w:r>
    </w:p>
    <w:p w14:paraId="6BF86025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Girdileri</w:t>
      </w:r>
    </w:p>
    <w:p w14:paraId="328D6906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Çıkt</w:t>
      </w:r>
      <w:r>
        <w:rPr>
          <w:rFonts w:ascii="Times New Roman" w:hAnsi="Times New Roman" w:cs="Times New Roman"/>
          <w:bCs/>
          <w:sz w:val="24"/>
          <w:szCs w:val="24"/>
        </w:rPr>
        <w:t>ıları</w:t>
      </w:r>
    </w:p>
    <w:p w14:paraId="7602CF23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Riskleri</w:t>
      </w:r>
    </w:p>
    <w:p w14:paraId="64D16840" w14:textId="77777777" w:rsidR="00AD655C" w:rsidRDefault="00F54694">
      <w:pPr>
        <w:numPr>
          <w:ilvl w:val="0"/>
          <w:numId w:val="3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Sürecin Fırsatları</w:t>
      </w:r>
    </w:p>
    <w:p w14:paraId="509946E0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Süreç planlarının hazırlanması ve güncellenmesinde bu unsurların bütünlüğü ve birbiriyle uyumu gözetilir. Mevcut süreç tanıtım kartları ve süreç akışları esas alınır.</w:t>
      </w:r>
    </w:p>
    <w:p w14:paraId="2340E13C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Süreçler Arası Etkileşimlerin </w:t>
      </w:r>
      <w:r>
        <w:rPr>
          <w:rFonts w:ascii="Times New Roman" w:hAnsi="Times New Roman" w:cs="Times New Roman"/>
          <w:b/>
          <w:bCs/>
          <w:sz w:val="24"/>
          <w:szCs w:val="24"/>
        </w:rPr>
        <w:t>Belirlenmesi</w:t>
      </w:r>
    </w:p>
    <w:p w14:paraId="0B0D76D1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Süreçler arası etkileşimler, Süreç Yönetimi El Kitabında tanımlanan ana süreçler ve alt süreçler dikkate alınarak belirlenir. Her sürecin etkilediği ve etkilendiği diğer süreçler, süreç tanıtım kartlarında gösterilir.</w:t>
      </w:r>
    </w:p>
    <w:p w14:paraId="1E93F65C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Etkileşimlerin belirlenme</w:t>
      </w:r>
      <w:r>
        <w:rPr>
          <w:rFonts w:ascii="Times New Roman" w:hAnsi="Times New Roman" w:cs="Times New Roman"/>
          <w:sz w:val="24"/>
          <w:szCs w:val="24"/>
        </w:rPr>
        <w:t>sinde süreçlerin girdileri, çıktıları ve faaliyetleri arasındaki ilişkiler değerlendirilir. Süreçler arasındaki bilgi ve iş akışlarının uyumlu olması gözetilir.</w:t>
      </w:r>
    </w:p>
    <w:p w14:paraId="2D5EF75F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Süreçler arası etkileşimlerde değişiklik olması durumunda ilgili süreç tanıtım kartları ve süre</w:t>
      </w:r>
      <w:r>
        <w:rPr>
          <w:rFonts w:ascii="Times New Roman" w:hAnsi="Times New Roman" w:cs="Times New Roman"/>
          <w:sz w:val="24"/>
          <w:szCs w:val="24"/>
        </w:rPr>
        <w:t>ç akışları gözden geçirilerek gerekli güncellemeler yapılır.</w:t>
      </w:r>
    </w:p>
    <w:p w14:paraId="2F44CA16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Süreç Kartlarının Hazırlanması, Kontrolü ve Güncellenmesi</w:t>
      </w:r>
    </w:p>
    <w:p w14:paraId="7D0967E9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 kartları, Süreç Yönetimi El Kitabında belirlenen yapı ve unsurlar esas alınarak Kalite ve Akreditasyon Koordinatörlüğü (BÜKAK) tara</w:t>
      </w:r>
      <w:r>
        <w:rPr>
          <w:rFonts w:ascii="Times New Roman" w:hAnsi="Times New Roman" w:cs="Times New Roman"/>
          <w:sz w:val="24"/>
          <w:szCs w:val="24"/>
        </w:rPr>
        <w:t>fından ilgili akademik ve idari birimlerle koordineli olarak hazırlanır.</w:t>
      </w:r>
    </w:p>
    <w:p w14:paraId="6CE43F24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Kartların hazırlanmasında süreçlerin amacı, kapsamı, faaliyetleri, sorumluları ve diğer süreçlerle ilişkileri dikkate alınır. Süreç akışları, faaliyetlerin gerçekleşme sırasını ve işl</w:t>
      </w:r>
      <w:r>
        <w:rPr>
          <w:rFonts w:ascii="Times New Roman" w:hAnsi="Times New Roman" w:cs="Times New Roman"/>
          <w:sz w:val="24"/>
          <w:szCs w:val="24"/>
        </w:rPr>
        <w:t>eyişini gösterecek şekilde düzenlenir.</w:t>
      </w:r>
    </w:p>
    <w:p w14:paraId="0B573EB1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Hazırlanan süreç kartlarının kurumsal düzenlemeler, görev tanımları ve ilgili iş akışlarıyla uyumu kontrol edilir. Eksik veya hatalı bilgiler ilgili birimlerle görüşülerek düzeltilir.</w:t>
      </w:r>
    </w:p>
    <w:p w14:paraId="2D0CD475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 kartları, belirlenen gözden</w:t>
      </w:r>
      <w:r>
        <w:rPr>
          <w:rFonts w:ascii="Times New Roman" w:hAnsi="Times New Roman" w:cs="Times New Roman"/>
          <w:sz w:val="24"/>
          <w:szCs w:val="24"/>
        </w:rPr>
        <w:t xml:space="preserve"> geçirme periyotlarında ve ihtiyaç duyulduğunda güncellenir. İlgili birimler değişiklik ihtiyaçlarını </w:t>
      </w:r>
      <w:proofErr w:type="spellStart"/>
      <w:r>
        <w:rPr>
          <w:rFonts w:ascii="Times New Roman" w:hAnsi="Times New Roman" w:cs="Times New Roman"/>
          <w:sz w:val="24"/>
          <w:szCs w:val="24"/>
        </w:rPr>
        <w:t>BÜKAK'a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bildirir. Güncellemeler, ilgili birimlerle koordineli olarak gerçekleştirilir ve doküman yönetimi prosedürleri doğrultusunda kayıt altına alınır.</w:t>
      </w:r>
    </w:p>
    <w:p w14:paraId="603F6345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Süreç Kartlarının Onaylanması ve Yürürlüğe Girmesi</w:t>
      </w:r>
    </w:p>
    <w:p w14:paraId="7AD034F1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Hazırlanan veya güncellenen süreç kartları, Kalite ve Akreditasyon Koordinatörlüğü (BÜKAK) tarafından ilgili akademik ve idari birimlerle koordineli olarak son kontrolden geçirilir.</w:t>
      </w:r>
    </w:p>
    <w:p w14:paraId="208BEA74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Kontrolü tamamlanan sür</w:t>
      </w:r>
      <w:r>
        <w:rPr>
          <w:rFonts w:ascii="Times New Roman" w:hAnsi="Times New Roman" w:cs="Times New Roman"/>
          <w:bCs/>
          <w:sz w:val="24"/>
          <w:szCs w:val="24"/>
        </w:rPr>
        <w:t>eç kartları, üniversitenin doküman yönetimi prosedürlerinde belirlenen yetkili makamın onayına sunulur. Onaylanan dokümanlar, ilgili prosedürler doğrultusunda yürürlüğe alınır ve erişime açılır.</w:t>
      </w:r>
    </w:p>
    <w:p w14:paraId="32AE2302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Güncellenen süreç kartlarının önceki sürümleri, dokümanların </w:t>
      </w:r>
      <w:r>
        <w:rPr>
          <w:rFonts w:ascii="Times New Roman" w:hAnsi="Times New Roman" w:cs="Times New Roman"/>
          <w:bCs/>
          <w:sz w:val="24"/>
          <w:szCs w:val="24"/>
        </w:rPr>
        <w:t>kontrolüne ilişkin esaslar doğrultusunda yönetilir. İlgili birimlerin güncel dokümanları esas alması sağlanır.</w:t>
      </w:r>
    </w:p>
    <w:p w14:paraId="5D81C669" w14:textId="77777777" w:rsidR="00AD655C" w:rsidRDefault="00F54694">
      <w:pPr>
        <w:pStyle w:val="ListeParagraf"/>
        <w:numPr>
          <w:ilvl w:val="1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Süreçlerin Uygulanması, İzlenmesi ve İyileştirilmesi </w:t>
      </w:r>
    </w:p>
    <w:p w14:paraId="56A59D4F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Akademik ve idari birimler, faaliyetlerini onaylanan süreç kartları ve ilgili iş akışları d</w:t>
      </w:r>
      <w:r>
        <w:rPr>
          <w:rFonts w:ascii="Times New Roman" w:hAnsi="Times New Roman" w:cs="Times New Roman"/>
          <w:sz w:val="24"/>
          <w:szCs w:val="24"/>
        </w:rPr>
        <w:t>oğrultusunda yürütür. Süreçlerin uygulanmasında tanımlanan görev, yetki ve sorumluluklar esas alınır.</w:t>
      </w:r>
    </w:p>
    <w:p w14:paraId="2A90C082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Süreçlerin etkinliği, belirlenen performans göstergeleri ve gözden geçirme periyotları doğrultusunda izlenir. İzleme sonuçları, iç tetkik bulguları, payda</w:t>
      </w:r>
      <w:r>
        <w:rPr>
          <w:rFonts w:ascii="Times New Roman" w:hAnsi="Times New Roman" w:cs="Times New Roman"/>
          <w:sz w:val="24"/>
          <w:szCs w:val="24"/>
        </w:rPr>
        <w:t>ş geri bildirimleri ve risk değerlendirmeleri dikkate alınarak iyileştirme ihtiyaçları belirlenir.</w:t>
      </w:r>
    </w:p>
    <w:p w14:paraId="0E3608C8" w14:textId="77777777" w:rsidR="00AD655C" w:rsidRDefault="00F54694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Süreçlere ilişkin değerlendirme sonuçları, Kalite Komisyonu toplantıları ve Yönetimin Gözden Geçirmesi (YGG) kapsamında ele alınır. Belirlenen iyileştirmeler</w:t>
      </w:r>
      <w:r>
        <w:rPr>
          <w:rFonts w:ascii="Times New Roman" w:hAnsi="Times New Roman" w:cs="Times New Roman"/>
          <w:sz w:val="24"/>
          <w:szCs w:val="24"/>
        </w:rPr>
        <w:t xml:space="preserve"> ilgili birimler tarafından uygulanır ve sonuçları takip edilir. Gerekli görülen değişiklikler süreç kartlarına yansıtılarak PUKÖ döngüsünün sürekliliği sağlanır.</w:t>
      </w:r>
    </w:p>
    <w:p w14:paraId="49FB940F" w14:textId="77777777" w:rsidR="00AD655C" w:rsidRDefault="00F54694">
      <w:pPr>
        <w:pStyle w:val="Govde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Cs w:val="24"/>
          <w:lang w:eastAsia="tr-TR"/>
        </w:rPr>
      </w:pPr>
      <w:r>
        <w:rPr>
          <w:rFonts w:ascii="Times New Roman" w:hAnsi="Times New Roman" w:cs="Times New Roman"/>
          <w:b/>
          <w:szCs w:val="24"/>
          <w:lang w:eastAsia="tr-TR"/>
        </w:rPr>
        <w:t>KURUMSAL BİLGİ (KAYITLAR)</w:t>
      </w:r>
    </w:p>
    <w:p w14:paraId="536BCE27" w14:textId="77777777" w:rsidR="00AD655C" w:rsidRDefault="00F54694">
      <w:pPr>
        <w:pStyle w:val="Govde"/>
        <w:ind w:left="284"/>
        <w:rPr>
          <w:rFonts w:ascii="Times New Roman" w:hAnsi="Times New Roman" w:cs="Times New Roman"/>
          <w:szCs w:val="24"/>
          <w:lang w:eastAsia="tr-TR"/>
        </w:rPr>
      </w:pPr>
      <w:r>
        <w:rPr>
          <w:rFonts w:ascii="Times New Roman" w:hAnsi="Times New Roman" w:cs="Times New Roman"/>
          <w:szCs w:val="24"/>
          <w:lang w:eastAsia="tr-TR"/>
        </w:rPr>
        <w:t>Bu kılavuzun uygulanması kapsamında oluşturulan süreç kartları, sür</w:t>
      </w:r>
      <w:r>
        <w:rPr>
          <w:rFonts w:ascii="Times New Roman" w:hAnsi="Times New Roman" w:cs="Times New Roman"/>
          <w:szCs w:val="24"/>
          <w:lang w:eastAsia="tr-TR"/>
        </w:rPr>
        <w:t>eç akışları, güncelleme kayıtları ve ilgili diğer dokümanlar, Kalite ve Akreditasyon Koordinatörlüğü (BÜKAK) ve ilgili birimler tarafından Kayıtların Kontrolü Prosedürü (BÜ.PRSD.02) doğrultusunda muhafaza edilir.</w:t>
      </w:r>
    </w:p>
    <w:p w14:paraId="69D08BAD" w14:textId="77777777" w:rsidR="00AD655C" w:rsidRDefault="00AD655C">
      <w:pPr>
        <w:pStyle w:val="Govde"/>
        <w:ind w:left="0"/>
        <w:rPr>
          <w:rFonts w:ascii="Times New Roman" w:hAnsi="Times New Roman" w:cs="Times New Roman"/>
          <w:bCs w:val="0"/>
          <w:iCs w:val="0"/>
          <w:noProof w:val="0"/>
          <w:color w:val="auto"/>
          <w:szCs w:val="24"/>
          <w:lang w:eastAsia="tr-TR"/>
        </w:rPr>
      </w:pPr>
    </w:p>
    <w:p w14:paraId="008B6011" w14:textId="77777777" w:rsidR="00AD655C" w:rsidRDefault="00F54694">
      <w:pPr>
        <w:pStyle w:val="ListeParagraf"/>
        <w:numPr>
          <w:ilvl w:val="0"/>
          <w:numId w:val="1"/>
        </w:numPr>
        <w:spacing w:line="276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İLGİLİ DOKÜMANLAR</w:t>
      </w:r>
    </w:p>
    <w:p w14:paraId="7DF11515" w14:textId="77777777" w:rsidR="00AD655C" w:rsidRDefault="00F5469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7.1. İç Kaynaklı </w:t>
      </w:r>
      <w:r>
        <w:rPr>
          <w:rFonts w:ascii="Times New Roman" w:hAnsi="Times New Roman" w:cs="Times New Roman"/>
          <w:b/>
          <w:bCs/>
          <w:sz w:val="24"/>
          <w:szCs w:val="24"/>
        </w:rPr>
        <w:t>Dokümanlar</w:t>
      </w:r>
    </w:p>
    <w:p w14:paraId="24C2CD94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 Yönetimi El Kitabı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BÜ.SYKEK</w:t>
      </w:r>
      <w:proofErr w:type="gramEnd"/>
      <w:r>
        <w:rPr>
          <w:rFonts w:ascii="Times New Roman" w:hAnsi="Times New Roman" w:cs="Times New Roman"/>
          <w:sz w:val="24"/>
          <w:szCs w:val="24"/>
        </w:rPr>
        <w:t>.001)</w:t>
      </w:r>
    </w:p>
    <w:p w14:paraId="60556B06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Süreç Kartları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BÜ.SRÇ</w:t>
      </w:r>
      <w:proofErr w:type="gramEnd"/>
      <w:r>
        <w:rPr>
          <w:rFonts w:ascii="Times New Roman" w:hAnsi="Times New Roman" w:cs="Times New Roman"/>
          <w:sz w:val="24"/>
          <w:szCs w:val="24"/>
        </w:rPr>
        <w:t>.01–BÜ.SRÇ.30)</w:t>
      </w:r>
    </w:p>
    <w:p w14:paraId="47F7B13A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Dokümante Edilmiş Bilginin Yönetimi Prosedürü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>
        <w:rPr>
          <w:rFonts w:ascii="Times New Roman" w:hAnsi="Times New Roman" w:cs="Times New Roman"/>
          <w:sz w:val="24"/>
          <w:szCs w:val="24"/>
        </w:rPr>
        <w:t>.01)</w:t>
      </w:r>
    </w:p>
    <w:p w14:paraId="0456D511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Kayıtların Kontrolü Prosedürü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>
        <w:rPr>
          <w:rFonts w:ascii="Times New Roman" w:hAnsi="Times New Roman" w:cs="Times New Roman"/>
          <w:sz w:val="24"/>
          <w:szCs w:val="24"/>
        </w:rPr>
        <w:t>.02)</w:t>
      </w:r>
    </w:p>
    <w:p w14:paraId="12389C3C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İç Tetkik Prosedürü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>
        <w:rPr>
          <w:rFonts w:ascii="Times New Roman" w:hAnsi="Times New Roman" w:cs="Times New Roman"/>
          <w:sz w:val="24"/>
          <w:szCs w:val="24"/>
        </w:rPr>
        <w:t>.03)</w:t>
      </w:r>
    </w:p>
    <w:p w14:paraId="20CE5FF9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Düzeltici Faaliyet Prosedürü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</w:t>
      </w:r>
      <w:r>
        <w:rPr>
          <w:rFonts w:ascii="Times New Roman" w:hAnsi="Times New Roman" w:cs="Times New Roman"/>
          <w:sz w:val="24"/>
          <w:szCs w:val="24"/>
        </w:rPr>
        <w:t>PRSD</w:t>
      </w:r>
      <w:proofErr w:type="gramEnd"/>
      <w:r>
        <w:rPr>
          <w:rFonts w:ascii="Times New Roman" w:hAnsi="Times New Roman" w:cs="Times New Roman"/>
          <w:sz w:val="24"/>
          <w:szCs w:val="24"/>
        </w:rPr>
        <w:t>.05)</w:t>
      </w:r>
    </w:p>
    <w:p w14:paraId="28449373" w14:textId="77777777" w:rsidR="00AD655C" w:rsidRDefault="00F54694">
      <w:pPr>
        <w:numPr>
          <w:ilvl w:val="0"/>
          <w:numId w:val="37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Yönetimin Sistemi Gözden Geçirmesi ve Liderlik Prosedürü (</w:t>
      </w:r>
      <w:proofErr w:type="gramStart"/>
      <w:r>
        <w:rPr>
          <w:rFonts w:ascii="Times New Roman" w:hAnsi="Times New Roman" w:cs="Times New Roman"/>
          <w:sz w:val="24"/>
          <w:szCs w:val="24"/>
        </w:rPr>
        <w:t>BÜ.PRSD</w:t>
      </w:r>
      <w:proofErr w:type="gramEnd"/>
      <w:r>
        <w:rPr>
          <w:rFonts w:ascii="Times New Roman" w:hAnsi="Times New Roman" w:cs="Times New Roman"/>
          <w:sz w:val="24"/>
          <w:szCs w:val="24"/>
        </w:rPr>
        <w:t>.07)</w:t>
      </w:r>
    </w:p>
    <w:p w14:paraId="69D95AE5" w14:textId="77777777" w:rsidR="00AD655C" w:rsidRDefault="00F54694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7.2. Dış Kaynaklı Dokümanlar</w:t>
      </w:r>
    </w:p>
    <w:p w14:paraId="52810544" w14:textId="77777777" w:rsidR="00AD655C" w:rsidRDefault="00F54694">
      <w:pPr>
        <w:numPr>
          <w:ilvl w:val="0"/>
          <w:numId w:val="3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 EN ISO 9001:2015 Kalite Yönetim Sistemi Standardı</w:t>
      </w:r>
    </w:p>
    <w:p w14:paraId="3AB3E821" w14:textId="77777777" w:rsidR="00AD655C" w:rsidRDefault="00F54694">
      <w:pPr>
        <w:numPr>
          <w:ilvl w:val="0"/>
          <w:numId w:val="3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Yükseköğretim Kalite Güvencesi ve Yükseköğretim Kalite Kurulu Yönetmeliği</w:t>
      </w:r>
    </w:p>
    <w:p w14:paraId="22DD1F71" w14:textId="77777777" w:rsidR="00AD655C" w:rsidRDefault="00F54694">
      <w:pPr>
        <w:numPr>
          <w:ilvl w:val="0"/>
          <w:numId w:val="3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YÖKAK Kurum İç Değerl</w:t>
      </w:r>
      <w:r>
        <w:rPr>
          <w:rFonts w:ascii="Times New Roman" w:hAnsi="Times New Roman" w:cs="Times New Roman"/>
          <w:sz w:val="24"/>
          <w:szCs w:val="24"/>
        </w:rPr>
        <w:t>endirme Raporu (KİDR) Hazırlama Kılavuzu</w:t>
      </w:r>
    </w:p>
    <w:p w14:paraId="180C09A5" w14:textId="77777777" w:rsidR="00AD655C" w:rsidRDefault="00AD65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DABF62" w14:textId="77777777" w:rsidR="00AD655C" w:rsidRDefault="00AD655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ECCE2C" w14:textId="77777777" w:rsidR="00AD655C" w:rsidRDefault="00F546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1AE30F8" wp14:editId="229982C6">
            <wp:extent cx="6120765" cy="560260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0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655C">
      <w:headerReference w:type="default" r:id="rId8"/>
      <w:footerReference w:type="default" r:id="rId9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848D" w14:textId="77777777" w:rsidR="00F54694" w:rsidRDefault="00F54694">
      <w:pPr>
        <w:spacing w:after="0" w:line="240" w:lineRule="auto"/>
      </w:pPr>
      <w:r>
        <w:separator/>
      </w:r>
    </w:p>
  </w:endnote>
  <w:endnote w:type="continuationSeparator" w:id="0">
    <w:p w14:paraId="2419C2D1" w14:textId="77777777" w:rsidR="00F54694" w:rsidRDefault="00F5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C209E" w14:textId="77777777" w:rsidR="00AD655C" w:rsidRDefault="00AD655C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alibri" w:eastAsia="Calibri" w:hAnsi="Calibri" w:cs="Times New Roman"/>
        <w:color w:val="000000"/>
        <w:lang w:eastAsia="tr-TR"/>
      </w:rPr>
    </w:pPr>
  </w:p>
  <w:tbl>
    <w:tblPr>
      <w:tblStyle w:val="TabloKlavuzu"/>
      <w:tblW w:w="9782" w:type="dxa"/>
      <w:tblInd w:w="-176" w:type="dxa"/>
      <w:tblLook w:val="04A0" w:firstRow="1" w:lastRow="0" w:firstColumn="1" w:lastColumn="0" w:noHBand="0" w:noVBand="1"/>
    </w:tblPr>
    <w:tblGrid>
      <w:gridCol w:w="3196"/>
      <w:gridCol w:w="3021"/>
      <w:gridCol w:w="3565"/>
    </w:tblGrid>
    <w:tr w:rsidR="00AD655C" w14:paraId="08001E07" w14:textId="77777777">
      <w:trPr>
        <w:trHeight w:val="393"/>
      </w:trPr>
      <w:tc>
        <w:tcPr>
          <w:tcW w:w="3196" w:type="dxa"/>
        </w:tcPr>
        <w:p w14:paraId="07DC17CE" w14:textId="77777777" w:rsidR="00AD655C" w:rsidRDefault="00F5469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Hazırlayan</w:t>
          </w:r>
        </w:p>
      </w:tc>
      <w:tc>
        <w:tcPr>
          <w:tcW w:w="3021" w:type="dxa"/>
        </w:tcPr>
        <w:p w14:paraId="2189FB7A" w14:textId="77777777" w:rsidR="00AD655C" w:rsidRDefault="00F5469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Kontrol Eden</w:t>
          </w:r>
        </w:p>
      </w:tc>
      <w:tc>
        <w:tcPr>
          <w:tcW w:w="3565" w:type="dxa"/>
        </w:tcPr>
        <w:p w14:paraId="45812F4B" w14:textId="77777777" w:rsidR="00AD655C" w:rsidRDefault="00F5469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Onaylayan</w:t>
          </w:r>
        </w:p>
      </w:tc>
    </w:tr>
    <w:tr w:rsidR="00AD655C" w14:paraId="136A2B9B" w14:textId="77777777">
      <w:trPr>
        <w:trHeight w:val="741"/>
      </w:trPr>
      <w:tc>
        <w:tcPr>
          <w:tcW w:w="3196" w:type="dxa"/>
        </w:tcPr>
        <w:p w14:paraId="078C947D" w14:textId="77777777" w:rsidR="00AD655C" w:rsidRDefault="00AD655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  <w:p w14:paraId="37293DC0" w14:textId="77777777" w:rsidR="00AD655C" w:rsidRDefault="00AD655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  <w:p w14:paraId="4432CD62" w14:textId="77777777" w:rsidR="00AD655C" w:rsidRDefault="00AD655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021" w:type="dxa"/>
        </w:tcPr>
        <w:p w14:paraId="6BFE1240" w14:textId="77777777" w:rsidR="00AD655C" w:rsidRDefault="00AD655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65" w:type="dxa"/>
        </w:tcPr>
        <w:p w14:paraId="0D0EFF70" w14:textId="77777777" w:rsidR="00AD655C" w:rsidRDefault="00AD655C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</w:tr>
  </w:tbl>
  <w:p w14:paraId="6B178A76" w14:textId="77777777" w:rsidR="00AD655C" w:rsidRDefault="00AD65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20EC1" w14:textId="77777777" w:rsidR="00F54694" w:rsidRDefault="00F54694">
      <w:pPr>
        <w:spacing w:after="0" w:line="240" w:lineRule="auto"/>
      </w:pPr>
      <w:r>
        <w:separator/>
      </w:r>
    </w:p>
  </w:footnote>
  <w:footnote w:type="continuationSeparator" w:id="0">
    <w:p w14:paraId="2499C8E9" w14:textId="77777777" w:rsidR="00F54694" w:rsidRDefault="00F54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A15B" w14:textId="77777777" w:rsidR="00AD655C" w:rsidRDefault="00AD655C">
    <w:pPr>
      <w:pStyle w:val="stBilgi"/>
    </w:pPr>
  </w:p>
  <w:tbl>
    <w:tblPr>
      <w:tblW w:w="9810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416"/>
      <w:gridCol w:w="1417"/>
      <w:gridCol w:w="1559"/>
    </w:tblGrid>
    <w:tr w:rsidR="00AD655C" w14:paraId="4AEFE4DB" w14:textId="77777777">
      <w:trPr>
        <w:trHeight w:val="234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D070B95" w14:textId="77777777" w:rsidR="00AD655C" w:rsidRDefault="00F54694">
          <w:pPr>
            <w:tabs>
              <w:tab w:val="center" w:pos="4536"/>
              <w:tab w:val="right" w:pos="9072"/>
            </w:tabs>
            <w:spacing w:after="0"/>
          </w:pPr>
          <w:r>
            <w:rPr>
              <w:noProof/>
              <w:lang w:eastAsia="tr-TR"/>
            </w:rPr>
            <w:drawing>
              <wp:inline distT="0" distB="0" distL="0" distR="0" wp14:anchorId="63102D1C" wp14:editId="7E9F7EB5">
                <wp:extent cx="647700" cy="622300"/>
                <wp:effectExtent l="19050" t="0" r="0" b="0"/>
                <wp:docPr id="6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541FB5" w14:textId="77777777" w:rsidR="00AD655C" w:rsidRDefault="00AD655C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Arial" w:hAnsi="Arial" w:cs="Arial"/>
              <w:color w:val="000000"/>
            </w:rPr>
          </w:pPr>
        </w:p>
        <w:p w14:paraId="10512EA9" w14:textId="77777777" w:rsidR="00AD655C" w:rsidRDefault="00F54694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Arial" w:hAnsi="Times New Roman"/>
              <w:b/>
              <w:color w:val="000000"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Süreç Planı Oluşturma, Güncelleme ve Uygulama Kılavuzu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77BCF3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98688E" w14:textId="63AB19C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BÜKAK.KLV.</w:t>
          </w:r>
          <w:r w:rsidR="006B43BA">
            <w:rPr>
              <w:rFonts w:ascii="Times New Roman" w:eastAsia="Arial" w:hAnsi="Times New Roman"/>
              <w:color w:val="000000"/>
              <w:sz w:val="18"/>
              <w:szCs w:val="18"/>
            </w:rPr>
            <w:t>08</w:t>
          </w:r>
        </w:p>
      </w:tc>
    </w:tr>
    <w:tr w:rsidR="00AD655C" w14:paraId="019B29C7" w14:textId="77777777"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2B7428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141120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E1D65C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CE96A2D" w14:textId="3E89336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2</w:t>
          </w:r>
          <w:r w:rsidR="006B43BA">
            <w:rPr>
              <w:rFonts w:ascii="Times New Roman" w:eastAsia="Arial" w:hAnsi="Times New Roman"/>
              <w:color w:val="000000"/>
              <w:sz w:val="18"/>
              <w:szCs w:val="18"/>
            </w:rPr>
            <w:t>6</w:t>
          </w: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.10.202</w:t>
          </w:r>
          <w:r w:rsidR="006B43BA">
            <w:rPr>
              <w:rFonts w:ascii="Times New Roman" w:eastAsia="Arial" w:hAnsi="Times New Roman"/>
              <w:color w:val="000000"/>
              <w:sz w:val="18"/>
              <w:szCs w:val="18"/>
            </w:rPr>
            <w:t>6</w:t>
          </w:r>
        </w:p>
      </w:tc>
    </w:tr>
    <w:tr w:rsidR="00AD655C" w14:paraId="78FA1940" w14:textId="77777777"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89E5A36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F795D2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3B742E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E4C8DA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00.00.0000</w:t>
          </w:r>
        </w:p>
      </w:tc>
    </w:tr>
    <w:tr w:rsidR="00AD655C" w14:paraId="584BE371" w14:textId="77777777">
      <w:trPr>
        <w:trHeight w:val="198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A7A616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9B5AF5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FD2EFD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006C6A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00</w:t>
          </w:r>
        </w:p>
      </w:tc>
    </w:tr>
    <w:tr w:rsidR="00AD655C" w14:paraId="40AA2449" w14:textId="77777777">
      <w:trPr>
        <w:trHeight w:val="24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614415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7DD843" w14:textId="77777777" w:rsidR="00AD655C" w:rsidRDefault="00AD655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DE34EB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color w:val="000000"/>
              <w:sz w:val="18"/>
              <w:szCs w:val="18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A0E627" w14:textId="77777777" w:rsidR="00AD655C" w:rsidRDefault="00F54694">
          <w:pPr>
            <w:tabs>
              <w:tab w:val="center" w:pos="4536"/>
              <w:tab w:val="right" w:pos="9072"/>
            </w:tabs>
            <w:spacing w:after="0"/>
            <w:rPr>
              <w:rFonts w:ascii="Times New Roman" w:eastAsia="Arial" w:hAnsi="Times New Roman"/>
              <w:color w:val="000000"/>
              <w:sz w:val="18"/>
              <w:szCs w:val="18"/>
            </w:rPr>
          </w:pPr>
          <w:r>
            <w:rPr>
              <w:rFonts w:ascii="Times New Roman" w:eastAsia="Arial" w:hAnsi="Times New Roman"/>
              <w:sz w:val="18"/>
              <w:szCs w:val="18"/>
            </w:rPr>
            <w:fldChar w:fldCharType="begin"/>
          </w:r>
          <w:r>
            <w:rPr>
              <w:rFonts w:ascii="Times New Roman" w:eastAsia="Arial" w:hAnsi="Times New Roman"/>
              <w:sz w:val="18"/>
              <w:szCs w:val="18"/>
            </w:rPr>
            <w:instrText>PAGE</w:instrTex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separate"/>
          </w:r>
          <w:r>
            <w:rPr>
              <w:rFonts w:ascii="Times New Roman" w:eastAsia="Arial" w:hAnsi="Times New Roman"/>
              <w:noProof/>
              <w:sz w:val="18"/>
              <w:szCs w:val="18"/>
            </w:rPr>
            <w:t>5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end"/>
          </w:r>
          <w:r>
            <w:rPr>
              <w:rFonts w:ascii="Times New Roman" w:eastAsia="Arial" w:hAnsi="Times New Roman"/>
              <w:sz w:val="18"/>
              <w:szCs w:val="18"/>
            </w:rPr>
            <w:t xml:space="preserve"> / 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begin"/>
          </w:r>
          <w:r>
            <w:rPr>
              <w:rFonts w:ascii="Times New Roman" w:eastAsia="Arial" w:hAnsi="Times New Roman"/>
              <w:sz w:val="18"/>
              <w:szCs w:val="18"/>
            </w:rPr>
            <w:instrText>NUMPAGES</w:instrTex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separate"/>
          </w:r>
          <w:r>
            <w:rPr>
              <w:rFonts w:ascii="Times New Roman" w:eastAsia="Arial" w:hAnsi="Times New Roman"/>
              <w:noProof/>
              <w:sz w:val="18"/>
              <w:szCs w:val="18"/>
            </w:rPr>
            <w:t>5</w:t>
          </w:r>
          <w:r>
            <w:rPr>
              <w:rFonts w:ascii="Times New Roman" w:eastAsia="Arial" w:hAnsi="Times New Roman"/>
              <w:sz w:val="18"/>
              <w:szCs w:val="18"/>
            </w:rPr>
            <w:fldChar w:fldCharType="end"/>
          </w:r>
        </w:p>
      </w:tc>
    </w:tr>
  </w:tbl>
  <w:p w14:paraId="5A3ECE3F" w14:textId="77777777" w:rsidR="00AD655C" w:rsidRDefault="00AD65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4A06"/>
    <w:multiLevelType w:val="multilevel"/>
    <w:tmpl w:val="051A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31D5E"/>
    <w:multiLevelType w:val="multilevel"/>
    <w:tmpl w:val="9BB0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928B1"/>
    <w:multiLevelType w:val="multilevel"/>
    <w:tmpl w:val="8B62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D5ECD"/>
    <w:multiLevelType w:val="multilevel"/>
    <w:tmpl w:val="375E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C5419D"/>
    <w:multiLevelType w:val="multilevel"/>
    <w:tmpl w:val="AF74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5707D9"/>
    <w:multiLevelType w:val="multilevel"/>
    <w:tmpl w:val="6992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43020"/>
    <w:multiLevelType w:val="multilevel"/>
    <w:tmpl w:val="F4B8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B5656"/>
    <w:multiLevelType w:val="multilevel"/>
    <w:tmpl w:val="B3B4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F425BA"/>
    <w:multiLevelType w:val="multilevel"/>
    <w:tmpl w:val="37BC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96158"/>
    <w:multiLevelType w:val="multilevel"/>
    <w:tmpl w:val="6AB8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953E0"/>
    <w:multiLevelType w:val="multilevel"/>
    <w:tmpl w:val="0A18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202BB"/>
    <w:multiLevelType w:val="multilevel"/>
    <w:tmpl w:val="FD4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60778A"/>
    <w:multiLevelType w:val="multilevel"/>
    <w:tmpl w:val="8F20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973AD0"/>
    <w:multiLevelType w:val="multilevel"/>
    <w:tmpl w:val="E32C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A62BF"/>
    <w:multiLevelType w:val="hybridMultilevel"/>
    <w:tmpl w:val="1D9893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F09A7"/>
    <w:multiLevelType w:val="multilevel"/>
    <w:tmpl w:val="548A9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93042B4"/>
    <w:multiLevelType w:val="multilevel"/>
    <w:tmpl w:val="6180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44387A"/>
    <w:multiLevelType w:val="multilevel"/>
    <w:tmpl w:val="D67C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8B5926"/>
    <w:multiLevelType w:val="hybridMultilevel"/>
    <w:tmpl w:val="0938074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E01F7"/>
    <w:multiLevelType w:val="multilevel"/>
    <w:tmpl w:val="193E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8218BE"/>
    <w:multiLevelType w:val="hybridMultilevel"/>
    <w:tmpl w:val="D1AE9802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505C4"/>
    <w:multiLevelType w:val="multilevel"/>
    <w:tmpl w:val="C51E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7320A7"/>
    <w:multiLevelType w:val="multilevel"/>
    <w:tmpl w:val="CFAC8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CC52EE"/>
    <w:multiLevelType w:val="multilevel"/>
    <w:tmpl w:val="84E4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C77BF1"/>
    <w:multiLevelType w:val="multilevel"/>
    <w:tmpl w:val="3392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496F09"/>
    <w:multiLevelType w:val="multilevel"/>
    <w:tmpl w:val="FB6E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F77A89"/>
    <w:multiLevelType w:val="multilevel"/>
    <w:tmpl w:val="5E18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E29BD"/>
    <w:multiLevelType w:val="multilevel"/>
    <w:tmpl w:val="D82C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05671"/>
    <w:multiLevelType w:val="multilevel"/>
    <w:tmpl w:val="E64C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7E293C"/>
    <w:multiLevelType w:val="multilevel"/>
    <w:tmpl w:val="3526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153F9"/>
    <w:multiLevelType w:val="multilevel"/>
    <w:tmpl w:val="9DE8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6E4EE2"/>
    <w:multiLevelType w:val="multilevel"/>
    <w:tmpl w:val="EB8A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C07F1B"/>
    <w:multiLevelType w:val="multilevel"/>
    <w:tmpl w:val="0838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104721"/>
    <w:multiLevelType w:val="multilevel"/>
    <w:tmpl w:val="F4669F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E24D2A"/>
    <w:multiLevelType w:val="multilevel"/>
    <w:tmpl w:val="36C8F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42B00"/>
    <w:multiLevelType w:val="multilevel"/>
    <w:tmpl w:val="A882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3603D6"/>
    <w:multiLevelType w:val="multilevel"/>
    <w:tmpl w:val="9C58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7B4856"/>
    <w:multiLevelType w:val="multilevel"/>
    <w:tmpl w:val="9266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0"/>
  </w:num>
  <w:num w:numId="3">
    <w:abstractNumId w:val="8"/>
  </w:num>
  <w:num w:numId="4">
    <w:abstractNumId w:val="19"/>
  </w:num>
  <w:num w:numId="5">
    <w:abstractNumId w:val="24"/>
  </w:num>
  <w:num w:numId="6">
    <w:abstractNumId w:val="36"/>
  </w:num>
  <w:num w:numId="7">
    <w:abstractNumId w:val="18"/>
  </w:num>
  <w:num w:numId="8">
    <w:abstractNumId w:val="22"/>
  </w:num>
  <w:num w:numId="9">
    <w:abstractNumId w:val="14"/>
  </w:num>
  <w:num w:numId="10">
    <w:abstractNumId w:val="37"/>
  </w:num>
  <w:num w:numId="11">
    <w:abstractNumId w:val="16"/>
  </w:num>
  <w:num w:numId="12">
    <w:abstractNumId w:val="34"/>
  </w:num>
  <w:num w:numId="13">
    <w:abstractNumId w:val="26"/>
  </w:num>
  <w:num w:numId="14">
    <w:abstractNumId w:val="3"/>
  </w:num>
  <w:num w:numId="15">
    <w:abstractNumId w:val="13"/>
  </w:num>
  <w:num w:numId="16">
    <w:abstractNumId w:val="32"/>
  </w:num>
  <w:num w:numId="17">
    <w:abstractNumId w:val="2"/>
  </w:num>
  <w:num w:numId="18">
    <w:abstractNumId w:val="6"/>
  </w:num>
  <w:num w:numId="19">
    <w:abstractNumId w:val="27"/>
  </w:num>
  <w:num w:numId="20">
    <w:abstractNumId w:val="29"/>
  </w:num>
  <w:num w:numId="21">
    <w:abstractNumId w:val="7"/>
  </w:num>
  <w:num w:numId="22">
    <w:abstractNumId w:val="10"/>
  </w:num>
  <w:num w:numId="23">
    <w:abstractNumId w:val="23"/>
  </w:num>
  <w:num w:numId="24">
    <w:abstractNumId w:val="25"/>
  </w:num>
  <w:num w:numId="25">
    <w:abstractNumId w:val="5"/>
  </w:num>
  <w:num w:numId="26">
    <w:abstractNumId w:val="4"/>
  </w:num>
  <w:num w:numId="27">
    <w:abstractNumId w:val="11"/>
  </w:num>
  <w:num w:numId="28">
    <w:abstractNumId w:val="33"/>
  </w:num>
  <w:num w:numId="29">
    <w:abstractNumId w:val="28"/>
  </w:num>
  <w:num w:numId="30">
    <w:abstractNumId w:val="30"/>
  </w:num>
  <w:num w:numId="31">
    <w:abstractNumId w:val="1"/>
  </w:num>
  <w:num w:numId="32">
    <w:abstractNumId w:val="21"/>
  </w:num>
  <w:num w:numId="33">
    <w:abstractNumId w:val="31"/>
  </w:num>
  <w:num w:numId="34">
    <w:abstractNumId w:val="12"/>
  </w:num>
  <w:num w:numId="35">
    <w:abstractNumId w:val="0"/>
  </w:num>
  <w:num w:numId="36">
    <w:abstractNumId w:val="17"/>
  </w:num>
  <w:num w:numId="37">
    <w:abstractNumId w:val="9"/>
  </w:num>
  <w:num w:numId="38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55C"/>
    <w:rsid w:val="006B43BA"/>
    <w:rsid w:val="00AD655C"/>
    <w:rsid w:val="00F5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2F3CE"/>
  <w15:chartTrackingRefBased/>
  <w15:docId w15:val="{B4EC9056-608A-4F7B-994D-5D303F48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99"/>
    <w:pPr>
      <w:spacing w:after="0" w:line="240" w:lineRule="auto"/>
    </w:pPr>
    <w:rPr>
      <w:rFonts w:ascii="Calibri" w:eastAsia="Calibri" w:hAnsi="Calibri" w:cs="Calibri"/>
      <w:color w:val="595959" w:themeColor="text1" w:themeTint="A6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vde">
    <w:name w:val="Govde"/>
    <w:basedOn w:val="Normal"/>
    <w:qFormat/>
    <w:pPr>
      <w:spacing w:before="20" w:after="20" w:line="276" w:lineRule="auto"/>
      <w:ind w:left="567" w:right="113"/>
      <w:jc w:val="both"/>
    </w:pPr>
    <w:rPr>
      <w:rFonts w:ascii="Calibri" w:eastAsia="Times New Roman" w:hAnsi="Calibri" w:cs="Arial"/>
      <w:bCs/>
      <w:iCs/>
      <w:noProof/>
      <w:color w:val="0D0D0D"/>
      <w:sz w:val="24"/>
      <w:szCs w:val="18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character" w:customStyle="1" w:styleId="Balk3Char">
    <w:name w:val="Başlık 3 Char"/>
    <w:basedOn w:val="VarsaylanParagrafYazTipi"/>
    <w:link w:val="Balk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BÜ Kalite ve Akreditasyon Koordinatörlüğü</vt:lpstr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DİLEK YALÇIN</dc:creator>
  <cp:keywords/>
  <dc:description/>
  <cp:lastModifiedBy>Baskent</cp:lastModifiedBy>
  <cp:revision>2</cp:revision>
  <cp:lastPrinted>2024-11-05T10:14:00Z</cp:lastPrinted>
  <dcterms:created xsi:type="dcterms:W3CDTF">2026-10-26T11:50:00Z</dcterms:created>
  <dcterms:modified xsi:type="dcterms:W3CDTF">2026-10-26T11:50:00Z</dcterms:modified>
</cp:coreProperties>
</file>