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C2C09" w14:textId="77777777" w:rsidR="007A1E69" w:rsidRDefault="007A1E69"/>
    <w:p w14:paraId="50620C6B" w14:textId="77777777" w:rsidR="007A1E69" w:rsidRDefault="00083C63">
      <w:pPr>
        <w:jc w:val="center"/>
      </w:pPr>
      <w:r>
        <w:rPr>
          <w:noProof/>
          <w:lang w:eastAsia="tr-TR"/>
        </w:rPr>
        <w:drawing>
          <wp:inline distT="0" distB="0" distL="0" distR="0" wp14:anchorId="42D8C6C8" wp14:editId="114ECD9C">
            <wp:extent cx="2053078" cy="1704442"/>
            <wp:effectExtent l="0" t="0" r="4445"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59780" cy="1710006"/>
                    </a:xfrm>
                    <a:prstGeom prst="rect">
                      <a:avLst/>
                    </a:prstGeom>
                  </pic:spPr>
                </pic:pic>
              </a:graphicData>
            </a:graphic>
          </wp:inline>
        </w:drawing>
      </w:r>
    </w:p>
    <w:p w14:paraId="5C8332B8" w14:textId="77777777" w:rsidR="007A1E69" w:rsidRDefault="007A1E69"/>
    <w:p w14:paraId="303DB27C" w14:textId="77777777" w:rsidR="007A1E69" w:rsidRDefault="007A1E69"/>
    <w:p w14:paraId="49F4F944" w14:textId="77777777" w:rsidR="007A1E69" w:rsidRDefault="007A1E69"/>
    <w:p w14:paraId="560B84B6" w14:textId="77777777" w:rsidR="007A1E69" w:rsidRDefault="007A1E69"/>
    <w:p w14:paraId="12EF203F" w14:textId="77777777" w:rsidR="007A1E69" w:rsidRDefault="007A1E69"/>
    <w:p w14:paraId="1FC0E2C9" w14:textId="77777777" w:rsidR="004E3DCF" w:rsidRPr="004E3DCF" w:rsidRDefault="004E3DCF" w:rsidP="004E3DCF">
      <w:pPr>
        <w:jc w:val="center"/>
        <w:rPr>
          <w:b/>
          <w:bCs/>
          <w:sz w:val="52"/>
          <w:szCs w:val="52"/>
        </w:rPr>
      </w:pPr>
      <w:r w:rsidRPr="004E3DCF">
        <w:rPr>
          <w:b/>
          <w:bCs/>
          <w:sz w:val="52"/>
          <w:szCs w:val="52"/>
        </w:rPr>
        <w:t xml:space="preserve">KURUM İÇ DEĞERLENDİRME RAPORU (KİDR) YAZIM </w:t>
      </w:r>
    </w:p>
    <w:p w14:paraId="072DEF4F" w14:textId="45C8FD81" w:rsidR="007A1E69" w:rsidRDefault="004E3DCF" w:rsidP="004E3DCF">
      <w:pPr>
        <w:jc w:val="center"/>
        <w:rPr>
          <w:b/>
          <w:bCs/>
          <w:sz w:val="52"/>
          <w:szCs w:val="52"/>
        </w:rPr>
      </w:pPr>
      <w:r w:rsidRPr="004E3DCF">
        <w:rPr>
          <w:b/>
          <w:bCs/>
          <w:sz w:val="52"/>
          <w:szCs w:val="52"/>
        </w:rPr>
        <w:t>KILAVUZU</w:t>
      </w:r>
    </w:p>
    <w:p w14:paraId="084268B8" w14:textId="77777777" w:rsidR="007A1E69" w:rsidRDefault="007A1E69">
      <w:pPr>
        <w:jc w:val="center"/>
        <w:rPr>
          <w:sz w:val="36"/>
          <w:szCs w:val="36"/>
        </w:rPr>
      </w:pPr>
    </w:p>
    <w:p w14:paraId="76B8051A" w14:textId="77777777" w:rsidR="007A1E69" w:rsidRDefault="007A1E69">
      <w:pPr>
        <w:jc w:val="center"/>
        <w:rPr>
          <w:sz w:val="36"/>
          <w:szCs w:val="36"/>
        </w:rPr>
      </w:pPr>
    </w:p>
    <w:p w14:paraId="3C4374C8" w14:textId="77777777" w:rsidR="007A1E69" w:rsidRDefault="007A1E69">
      <w:pPr>
        <w:jc w:val="center"/>
        <w:rPr>
          <w:sz w:val="36"/>
          <w:szCs w:val="36"/>
        </w:rPr>
      </w:pPr>
    </w:p>
    <w:p w14:paraId="7C99ED25" w14:textId="77777777" w:rsidR="007A1E69" w:rsidRDefault="007A1E69">
      <w:pPr>
        <w:jc w:val="center"/>
        <w:rPr>
          <w:sz w:val="36"/>
          <w:szCs w:val="36"/>
        </w:rPr>
      </w:pPr>
    </w:p>
    <w:p w14:paraId="382B99A2" w14:textId="77777777" w:rsidR="007A1E69" w:rsidRDefault="007A1E69">
      <w:pPr>
        <w:jc w:val="center"/>
        <w:rPr>
          <w:sz w:val="36"/>
          <w:szCs w:val="36"/>
        </w:rPr>
      </w:pPr>
    </w:p>
    <w:p w14:paraId="7BB1A9B3" w14:textId="77777777" w:rsidR="007A1E69" w:rsidRDefault="00083C63">
      <w:pPr>
        <w:jc w:val="center"/>
        <w:rPr>
          <w:sz w:val="36"/>
          <w:szCs w:val="36"/>
        </w:rPr>
      </w:pPr>
      <w:r>
        <w:rPr>
          <w:sz w:val="36"/>
          <w:szCs w:val="36"/>
        </w:rPr>
        <w:t>Sürüm No: 01</w:t>
      </w:r>
    </w:p>
    <w:p w14:paraId="69C82DAA" w14:textId="77777777" w:rsidR="007A1E69" w:rsidRDefault="00083C63">
      <w:pPr>
        <w:jc w:val="center"/>
        <w:rPr>
          <w:sz w:val="36"/>
          <w:szCs w:val="36"/>
        </w:rPr>
      </w:pPr>
      <w:r>
        <w:rPr>
          <w:sz w:val="36"/>
          <w:szCs w:val="36"/>
        </w:rPr>
        <w:t>2026</w:t>
      </w:r>
    </w:p>
    <w:p w14:paraId="3F8CB37E" w14:textId="77777777" w:rsidR="007A1E69" w:rsidRDefault="00083C63">
      <w:pPr>
        <w:jc w:val="center"/>
        <w:rPr>
          <w:sz w:val="36"/>
          <w:szCs w:val="36"/>
        </w:rPr>
      </w:pPr>
      <w:r>
        <w:rPr>
          <w:sz w:val="36"/>
          <w:szCs w:val="36"/>
        </w:rPr>
        <w:t>Kalite ve Akreditasyon Koordinatörlüğü</w:t>
      </w:r>
    </w:p>
    <w:p w14:paraId="13CEAF5C" w14:textId="77777777" w:rsidR="007A1E69" w:rsidRDefault="00083C63">
      <w:pPr>
        <w:jc w:val="center"/>
        <w:rPr>
          <w:rFonts w:ascii="Times New Roman" w:hAnsi="Times New Roman" w:cs="Times New Roman"/>
          <w:b/>
          <w:bCs/>
          <w:sz w:val="24"/>
          <w:szCs w:val="24"/>
        </w:rPr>
      </w:pPr>
      <w:r>
        <w:rPr>
          <w:sz w:val="36"/>
          <w:szCs w:val="36"/>
        </w:rPr>
        <w:t>ANKARA</w:t>
      </w:r>
      <w:r>
        <w:rPr>
          <w:rFonts w:ascii="Times New Roman" w:hAnsi="Times New Roman" w:cs="Times New Roman"/>
          <w:b/>
          <w:bCs/>
          <w:sz w:val="24"/>
          <w:szCs w:val="24"/>
        </w:rPr>
        <w:br w:type="page"/>
      </w:r>
    </w:p>
    <w:p w14:paraId="4F08E7C8" w14:textId="77777777" w:rsidR="004E3DCF" w:rsidRPr="004E3DCF" w:rsidRDefault="004E3DCF" w:rsidP="004E3DCF">
      <w:pPr>
        <w:spacing w:before="240" w:line="276" w:lineRule="auto"/>
        <w:jc w:val="both"/>
        <w:rPr>
          <w:rFonts w:ascii="Times New Roman" w:hAnsi="Times New Roman" w:cs="Times New Roman"/>
          <w:b/>
          <w:bCs/>
          <w:sz w:val="24"/>
          <w:szCs w:val="24"/>
        </w:rPr>
      </w:pPr>
      <w:bookmarkStart w:id="0" w:name="_Toc234413407"/>
      <w:r w:rsidRPr="004E3DCF">
        <w:rPr>
          <w:rFonts w:ascii="Times New Roman" w:hAnsi="Times New Roman" w:cs="Times New Roman"/>
          <w:b/>
          <w:bCs/>
          <w:sz w:val="24"/>
          <w:szCs w:val="24"/>
        </w:rPr>
        <w:lastRenderedPageBreak/>
        <w:t>1. AMAÇ</w:t>
      </w:r>
    </w:p>
    <w:p w14:paraId="23B0CB5C"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Bu kılavuzun amacı, Başkent Üniversitesi Kurum İç Değerlendirme Raporunun (KİDR), Yükseköğretim Kalite Kurulu (YÖKAK) tarafından belirlenen ölçütler ve raporlama esasları doğrultusunda hazırlanmasına ilişkin yöntem, görev ve sorumluluklar ile değerlendirme, onay ve yayımlama süreçlerini tanımlamaktır.</w:t>
      </w:r>
    </w:p>
    <w:p w14:paraId="50764AE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Kılavuz, KİDR hazırlama sürecinin sistematik, katılımcı, kanıta dayalı ve izlenebilir bir yaklaşımla yürütülmesini; kurumsal değerlendirme sonuçlarının sürekli iyileştirme çalışmalarına girdi oluşturmasını amaçlamaktadır.</w:t>
      </w:r>
    </w:p>
    <w:p w14:paraId="65239E5C"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2. KAPSAM</w:t>
      </w:r>
    </w:p>
    <w:p w14:paraId="227F1C98"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Bu kılavuz, Başkent Üniversitesi Kurum İç Değerlendirme Raporunun (KİDR) hazırlanmasına yönelik olarak akademik ve idari birimlerden bilgi, veri ve kanıtların temin edilmesi, KİDR yazım komisyonunun oluşturulması, raporun hazırlanması, bütünleştirilmesi, değerlendirilmesi, onaylanması ve yayımlanması ile değerlendirme sonuçlarının izleme ve iyileştirme süreçlerinde kullanılmasına ilişkin faaliyetleri kapsar.</w:t>
      </w:r>
    </w:p>
    <w:p w14:paraId="0178BFA6"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Kılavuz; akademik ve idari birimleri, KİDR yazım komisyonunu ve çalışma gruplarını, Kalite ve Akreditasyon Koordinatörlüğünü, kaliteden sorumlu Rektör Yardımcısını, Rektörü, Üniversite Kalite Komisyonunu ve Senatoyu kapsar.</w:t>
      </w:r>
    </w:p>
    <w:p w14:paraId="105D0146"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3. DAYANAK</w:t>
      </w:r>
    </w:p>
    <w:p w14:paraId="5B069639" w14:textId="77777777" w:rsidR="004E3DCF" w:rsidRPr="004E3DCF" w:rsidRDefault="004E3DCF" w:rsidP="00B42155">
      <w:pPr>
        <w:spacing w:after="0" w:line="276" w:lineRule="auto"/>
        <w:jc w:val="both"/>
        <w:rPr>
          <w:rFonts w:ascii="Times New Roman" w:hAnsi="Times New Roman" w:cs="Times New Roman"/>
          <w:sz w:val="24"/>
          <w:szCs w:val="24"/>
        </w:rPr>
      </w:pPr>
      <w:r w:rsidRPr="004E3DCF">
        <w:rPr>
          <w:rFonts w:ascii="Times New Roman" w:hAnsi="Times New Roman" w:cs="Times New Roman"/>
          <w:sz w:val="24"/>
          <w:szCs w:val="24"/>
        </w:rPr>
        <w:t>Bu kılavuz;</w:t>
      </w:r>
    </w:p>
    <w:p w14:paraId="26BDEC1A" w14:textId="77777777" w:rsidR="004E3DCF" w:rsidRPr="004E3DCF" w:rsidRDefault="004E3DCF" w:rsidP="00B42155">
      <w:pPr>
        <w:numPr>
          <w:ilvl w:val="0"/>
          <w:numId w:val="29"/>
        </w:numPr>
        <w:spacing w:after="0" w:line="276" w:lineRule="auto"/>
        <w:jc w:val="both"/>
        <w:rPr>
          <w:rFonts w:ascii="Times New Roman" w:hAnsi="Times New Roman" w:cs="Times New Roman"/>
          <w:sz w:val="24"/>
          <w:szCs w:val="24"/>
        </w:rPr>
      </w:pPr>
      <w:r w:rsidRPr="004E3DCF">
        <w:rPr>
          <w:rFonts w:ascii="Times New Roman" w:hAnsi="Times New Roman" w:cs="Times New Roman"/>
          <w:sz w:val="24"/>
          <w:szCs w:val="24"/>
        </w:rPr>
        <w:t>2547 sayılı Yükseköğretim Kanununa,</w:t>
      </w:r>
    </w:p>
    <w:p w14:paraId="5F176614" w14:textId="77777777" w:rsidR="004E3DCF" w:rsidRPr="004E3DCF" w:rsidRDefault="004E3DCF" w:rsidP="00B42155">
      <w:pPr>
        <w:numPr>
          <w:ilvl w:val="0"/>
          <w:numId w:val="29"/>
        </w:numPr>
        <w:spacing w:after="0" w:line="276" w:lineRule="auto"/>
        <w:jc w:val="both"/>
        <w:rPr>
          <w:rFonts w:ascii="Times New Roman" w:hAnsi="Times New Roman" w:cs="Times New Roman"/>
          <w:sz w:val="24"/>
          <w:szCs w:val="24"/>
        </w:rPr>
      </w:pPr>
      <w:r w:rsidRPr="004E3DCF">
        <w:rPr>
          <w:rFonts w:ascii="Times New Roman" w:hAnsi="Times New Roman" w:cs="Times New Roman"/>
          <w:sz w:val="24"/>
          <w:szCs w:val="24"/>
        </w:rPr>
        <w:t>Yükseköğretim Kalite Güvencesi ve Yükseköğretim Kalite Kurulu Yönetmeliğine,</w:t>
      </w:r>
    </w:p>
    <w:p w14:paraId="1FB3F5CB" w14:textId="77777777" w:rsidR="004E3DCF" w:rsidRPr="004E3DCF" w:rsidRDefault="004E3DCF" w:rsidP="00B42155">
      <w:pPr>
        <w:numPr>
          <w:ilvl w:val="0"/>
          <w:numId w:val="29"/>
        </w:numPr>
        <w:spacing w:after="0" w:line="276" w:lineRule="auto"/>
        <w:jc w:val="both"/>
        <w:rPr>
          <w:rFonts w:ascii="Times New Roman" w:hAnsi="Times New Roman" w:cs="Times New Roman"/>
          <w:sz w:val="24"/>
          <w:szCs w:val="24"/>
        </w:rPr>
      </w:pPr>
      <w:r w:rsidRPr="004E3DCF">
        <w:rPr>
          <w:rFonts w:ascii="Times New Roman" w:hAnsi="Times New Roman" w:cs="Times New Roman"/>
          <w:sz w:val="24"/>
          <w:szCs w:val="24"/>
        </w:rPr>
        <w:t>Yükseköğretim Kalite Kurulu (YÖKAK) tarafından yayımlanan güncel Kurum İç Değerlendirme Raporu Hazırlama Kılavuzuna,</w:t>
      </w:r>
    </w:p>
    <w:p w14:paraId="55E92F22" w14:textId="77777777" w:rsidR="004E3DCF" w:rsidRPr="004E3DCF" w:rsidRDefault="004E3DCF" w:rsidP="00B42155">
      <w:pPr>
        <w:numPr>
          <w:ilvl w:val="0"/>
          <w:numId w:val="29"/>
        </w:numPr>
        <w:spacing w:after="0" w:line="276" w:lineRule="auto"/>
        <w:jc w:val="both"/>
        <w:rPr>
          <w:rFonts w:ascii="Times New Roman" w:hAnsi="Times New Roman" w:cs="Times New Roman"/>
          <w:sz w:val="24"/>
          <w:szCs w:val="24"/>
        </w:rPr>
      </w:pPr>
      <w:r w:rsidRPr="004E3DCF">
        <w:rPr>
          <w:rFonts w:ascii="Times New Roman" w:hAnsi="Times New Roman" w:cs="Times New Roman"/>
          <w:sz w:val="24"/>
          <w:szCs w:val="24"/>
        </w:rPr>
        <w:t>Başkent Üniversitesi Kalite Güvencesi Yönergesine</w:t>
      </w:r>
    </w:p>
    <w:p w14:paraId="6DC202A4" w14:textId="77777777" w:rsidR="004E3DCF" w:rsidRPr="004E3DCF" w:rsidRDefault="004E3DCF" w:rsidP="00B42155">
      <w:pPr>
        <w:spacing w:after="0" w:line="276" w:lineRule="auto"/>
        <w:jc w:val="both"/>
        <w:rPr>
          <w:rFonts w:ascii="Times New Roman" w:hAnsi="Times New Roman" w:cs="Times New Roman"/>
          <w:sz w:val="24"/>
          <w:szCs w:val="24"/>
        </w:rPr>
      </w:pPr>
      <w:proofErr w:type="gramStart"/>
      <w:r w:rsidRPr="004E3DCF">
        <w:rPr>
          <w:rFonts w:ascii="Times New Roman" w:hAnsi="Times New Roman" w:cs="Times New Roman"/>
          <w:sz w:val="24"/>
          <w:szCs w:val="24"/>
        </w:rPr>
        <w:t>dayanılarak</w:t>
      </w:r>
      <w:proofErr w:type="gramEnd"/>
      <w:r w:rsidRPr="004E3DCF">
        <w:rPr>
          <w:rFonts w:ascii="Times New Roman" w:hAnsi="Times New Roman" w:cs="Times New Roman"/>
          <w:sz w:val="24"/>
          <w:szCs w:val="24"/>
        </w:rPr>
        <w:t xml:space="preserve"> hazırlanmıştır.</w:t>
      </w:r>
    </w:p>
    <w:p w14:paraId="46EC3EDF"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 GÖREV VE SORUMLULUKLAR</w:t>
      </w:r>
    </w:p>
    <w:p w14:paraId="7034BD10"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4.1. Akademik ve İdari Birimler</w:t>
      </w:r>
    </w:p>
    <w:p w14:paraId="3245F6AA"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Birim Öz Değerlendirme Raporlarını (BÖDR), Başkent Üniversitesi BÖDR Hazırlama Kılavuzu doğrultusunda hazırlamak, faaliyetlerine ilişkin güncel bilgi, veri ve kanıtları sağlamak ve belirlenen takvim içerisinde Kalite ve Akreditasyon Koordinatörlüğüne iletmekle sorumludur.</w:t>
      </w:r>
    </w:p>
    <w:p w14:paraId="4114A84E"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 xml:space="preserve">4.2. KİDR Yazım Komisyonu </w:t>
      </w:r>
    </w:p>
    <w:p w14:paraId="50899C4A" w14:textId="77777777" w:rsidR="004E3DCF" w:rsidRPr="004E3DCF" w:rsidRDefault="004E3DCF" w:rsidP="004E3DCF">
      <w:pPr>
        <w:spacing w:before="240" w:line="276" w:lineRule="auto"/>
        <w:jc w:val="both"/>
        <w:rPr>
          <w:rFonts w:ascii="Times New Roman" w:hAnsi="Times New Roman" w:cs="Times New Roman"/>
          <w:sz w:val="24"/>
          <w:szCs w:val="24"/>
        </w:rPr>
      </w:pPr>
      <w:proofErr w:type="spellStart"/>
      <w:r w:rsidRPr="004E3DCF">
        <w:rPr>
          <w:rFonts w:ascii="Times New Roman" w:hAnsi="Times New Roman" w:cs="Times New Roman"/>
          <w:sz w:val="24"/>
          <w:szCs w:val="24"/>
        </w:rPr>
        <w:t>KİDR'nin</w:t>
      </w:r>
      <w:proofErr w:type="spellEnd"/>
      <w:r w:rsidRPr="004E3DCF">
        <w:rPr>
          <w:rFonts w:ascii="Times New Roman" w:hAnsi="Times New Roman" w:cs="Times New Roman"/>
          <w:sz w:val="24"/>
          <w:szCs w:val="24"/>
        </w:rPr>
        <w:t xml:space="preserve"> hazırlanması amacıyla oluşturulan Yazım Komisyonu,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dört ana ölçütü doğrultusunda çalışma gruplarına ayrılır. Liderlik, yönetişim ve kalite; eğitim ve </w:t>
      </w:r>
      <w:proofErr w:type="gramStart"/>
      <w:r w:rsidRPr="004E3DCF">
        <w:rPr>
          <w:rFonts w:ascii="Times New Roman" w:hAnsi="Times New Roman" w:cs="Times New Roman"/>
          <w:sz w:val="24"/>
          <w:szCs w:val="24"/>
        </w:rPr>
        <w:t>öğretim;</w:t>
      </w:r>
      <w:proofErr w:type="gramEnd"/>
      <w:r w:rsidRPr="004E3DCF">
        <w:rPr>
          <w:rFonts w:ascii="Times New Roman" w:hAnsi="Times New Roman" w:cs="Times New Roman"/>
          <w:sz w:val="24"/>
          <w:szCs w:val="24"/>
        </w:rPr>
        <w:t xml:space="preserve"> araştırma ve geliştirme ile toplumsal katkı alanlarından sorumlu çalışma grupları, akademik ve idari birimlerden sağlanan bilgi, veri ve kanıtları değerlendirerek sorumlu oldukları rapor bölümlerini </w:t>
      </w:r>
      <w:proofErr w:type="spellStart"/>
      <w:r w:rsidRPr="004E3DCF">
        <w:rPr>
          <w:rFonts w:ascii="Times New Roman" w:hAnsi="Times New Roman" w:cs="Times New Roman"/>
          <w:sz w:val="24"/>
          <w:szCs w:val="24"/>
        </w:rPr>
        <w:lastRenderedPageBreak/>
        <w:t>YÖKAK'ın</w:t>
      </w:r>
      <w:proofErr w:type="spellEnd"/>
      <w:r w:rsidRPr="004E3DCF">
        <w:rPr>
          <w:rFonts w:ascii="Times New Roman" w:hAnsi="Times New Roman" w:cs="Times New Roman"/>
          <w:sz w:val="24"/>
          <w:szCs w:val="24"/>
        </w:rPr>
        <w:t xml:space="preserve"> güncel KİDR Hazırlama Kılavuzu doğrultusunda hazırlar ve belirlenen takvim içerisinde Kalite ve Akreditasyon Koordinatörlüğüne iletir.</w:t>
      </w:r>
    </w:p>
    <w:p w14:paraId="3A786272"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4.3. Kalite ve Akreditasyon Koordinatörlüğü (BÜKAK)</w:t>
      </w:r>
    </w:p>
    <w:p w14:paraId="376589DA"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KİDR hazırlama takvimini oluşturmak, akademik ve idari birimlerden </w:t>
      </w:r>
      <w:proofErr w:type="spellStart"/>
      <w:r w:rsidRPr="004E3DCF">
        <w:rPr>
          <w:rFonts w:ascii="Times New Roman" w:hAnsi="Times New Roman" w:cs="Times New Roman"/>
          <w:sz w:val="24"/>
          <w:szCs w:val="24"/>
        </w:rPr>
        <w:t>BÖDR'lerin</w:t>
      </w:r>
      <w:proofErr w:type="spellEnd"/>
      <w:r w:rsidRPr="004E3DCF">
        <w:rPr>
          <w:rFonts w:ascii="Times New Roman" w:hAnsi="Times New Roman" w:cs="Times New Roman"/>
          <w:sz w:val="24"/>
          <w:szCs w:val="24"/>
        </w:rPr>
        <w:t xml:space="preserve"> temin edilmesini sağlamak, KİDR Yazım Komisyonunun çalışmalarını koordine etmek, çalışma gruplarından gelen rapor bölümlerini birleştirmek, içerik bütünlüğünü ve kanıt uyumunu kontrol ederek rapora son hâlini vermek ve üst yönetimin değerlendirmesine sunmakla sorumludur. Ayrıca onaylanan raporun YÖKAK sistemine yüklenmesi ve kamuoyuyla paylaşılmasına ilişkin işlemleri yürütür.</w:t>
      </w:r>
    </w:p>
    <w:p w14:paraId="4D665340"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4.4. Kaliteden Sorumlu Rektör Yardımcısı</w:t>
      </w:r>
    </w:p>
    <w:p w14:paraId="69949D08"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KİDR Yazım Komisyonunu oluşturur. Hazırlanan Kurum İç Değerlendirme Raporunu kurumsal öncelikler, stratejik hedefler ve kalite yönetim sistemi açısından inceler, gerekli düzenlemelere ilişkin görüş ve önerilerini iletir ve raporu Rektörün değerlendirmesine sunar.</w:t>
      </w:r>
    </w:p>
    <w:p w14:paraId="4A193EB7"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4.5. Rektör</w:t>
      </w:r>
    </w:p>
    <w:p w14:paraId="4587D96F" w14:textId="77777777" w:rsidR="004E3DCF" w:rsidRPr="004E3DCF" w:rsidRDefault="003C6CFD" w:rsidP="004E3DCF">
      <w:pPr>
        <w:spacing w:before="240" w:line="276" w:lineRule="auto"/>
        <w:jc w:val="both"/>
        <w:rPr>
          <w:rFonts w:ascii="Times New Roman" w:hAnsi="Times New Roman" w:cs="Times New Roman"/>
          <w:sz w:val="24"/>
          <w:szCs w:val="24"/>
        </w:rPr>
      </w:pPr>
      <w:bookmarkStart w:id="1" w:name="_Hlk242778051"/>
      <w:r w:rsidRPr="004E3DCF">
        <w:rPr>
          <w:rFonts w:ascii="Times New Roman" w:hAnsi="Times New Roman" w:cs="Times New Roman"/>
          <w:sz w:val="24"/>
          <w:szCs w:val="24"/>
        </w:rPr>
        <w:t>K</w:t>
      </w:r>
      <w:r w:rsidR="004E3DCF" w:rsidRPr="004E3DCF">
        <w:rPr>
          <w:rFonts w:ascii="Times New Roman" w:hAnsi="Times New Roman" w:cs="Times New Roman"/>
          <w:sz w:val="24"/>
          <w:szCs w:val="24"/>
        </w:rPr>
        <w:t>urum İç Değerlendirme Raporunu</w:t>
      </w:r>
      <w:bookmarkEnd w:id="1"/>
      <w:r w:rsidR="004E3DCF" w:rsidRPr="004E3DCF">
        <w:rPr>
          <w:rFonts w:ascii="Times New Roman" w:hAnsi="Times New Roman" w:cs="Times New Roman"/>
          <w:sz w:val="24"/>
          <w:szCs w:val="24"/>
        </w:rPr>
        <w:t xml:space="preserve">, kurumsal yönetim ve stratejik hedefler açısından değerlendirir, gerekli düzenlemelerin yapılmasını sağlar ve raporun Üniversite Kalite Komisyonunda görüşülmesi sürecini yönlendirir. </w:t>
      </w:r>
    </w:p>
    <w:p w14:paraId="07AD40D5"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4.6. Üniversite Kalite Komisyonu</w:t>
      </w:r>
    </w:p>
    <w:p w14:paraId="1C9CE620" w14:textId="77777777" w:rsidR="004E3DCF" w:rsidRPr="004E3DCF" w:rsidRDefault="003C6CFD"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w:t>
      </w:r>
      <w:r w:rsidR="004E3DCF" w:rsidRPr="004E3DCF">
        <w:rPr>
          <w:rFonts w:ascii="Times New Roman" w:hAnsi="Times New Roman" w:cs="Times New Roman"/>
          <w:sz w:val="24"/>
          <w:szCs w:val="24"/>
        </w:rPr>
        <w:t xml:space="preserve">urum İç Değerlendirme Raporunu, kurumsal değerlendirme sonuçları, güçlü ve gelişmeye açık alanlar ile iyileştirme öncelikleri açısından görüşerek Senatonun değerlendirmesine sunar. </w:t>
      </w:r>
    </w:p>
    <w:p w14:paraId="4A351CAF"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4.7. Senato</w:t>
      </w:r>
    </w:p>
    <w:p w14:paraId="729A5537"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Üniversite Kalite Komisyonu tarafından sunulan </w:t>
      </w:r>
      <w:r w:rsidR="003C6CFD" w:rsidRPr="004E3DCF">
        <w:rPr>
          <w:rFonts w:ascii="Times New Roman" w:hAnsi="Times New Roman" w:cs="Times New Roman"/>
          <w:sz w:val="24"/>
          <w:szCs w:val="24"/>
        </w:rPr>
        <w:t>K</w:t>
      </w:r>
      <w:r w:rsidRPr="004E3DCF">
        <w:rPr>
          <w:rFonts w:ascii="Times New Roman" w:hAnsi="Times New Roman" w:cs="Times New Roman"/>
          <w:sz w:val="24"/>
          <w:szCs w:val="24"/>
        </w:rPr>
        <w:t>urum İç Değerlendirme Raporunu değerlendirerek onaylar.</w:t>
      </w:r>
    </w:p>
    <w:p w14:paraId="25C4118C"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5. KİDR HAZIRLAMA SÜRECİ</w:t>
      </w:r>
    </w:p>
    <w:p w14:paraId="6DE1F75B"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5.1. Hazırlık ve Planlama</w:t>
      </w:r>
    </w:p>
    <w:p w14:paraId="10DB538D"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KİDR hazırlama süreci, YÖKAK tarafından belirlenen raporlama takvimi ve güncel KİDR Hazırlama Kılavuzu doğrultusunda Kalite ve Akreditasyon Koordinatörlüğü tarafından planlanır. Bu kapsamda hazırlık takvimi oluşturulur, akademik ve idari birimlere gerekli bilgilendirmeler yapılır ve raporlama sürecinde kullanılacak dokümanlar gözden geçirilir.</w:t>
      </w:r>
    </w:p>
    <w:p w14:paraId="4920F481"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5.2. Birim Öz Değerlendirme Raporlarının Temin Edilmesi</w:t>
      </w:r>
    </w:p>
    <w:p w14:paraId="1050E01E"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Akademik ve idari birimler, Birim Öz Değerlendirme Raporlarını (BÖDR) Başkent Üniversitesi BÖDR Hazırlama Kılavuzu doğrultusunda hazırlayarak belirlenen süre içerisinde Kalite ve </w:t>
      </w:r>
      <w:r w:rsidRPr="004E3DCF">
        <w:rPr>
          <w:rFonts w:ascii="Times New Roman" w:hAnsi="Times New Roman" w:cs="Times New Roman"/>
          <w:sz w:val="24"/>
          <w:szCs w:val="24"/>
        </w:rPr>
        <w:lastRenderedPageBreak/>
        <w:t>Akreditasyon Koordinatörlüğüne iletir. Koordinatörlük, raporların tamamlanma durumunu takip eder ve gerekli hâllerde birimlerden eksik bilgi, veri ve kanıtların tamamlanmasını talep eder.</w:t>
      </w:r>
    </w:p>
    <w:p w14:paraId="09B29DEB"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 xml:space="preserve">5.3. </w:t>
      </w:r>
      <w:bookmarkStart w:id="2" w:name="_Hlk242778834"/>
      <w:r w:rsidRPr="004E3DCF">
        <w:rPr>
          <w:rFonts w:ascii="Times New Roman" w:hAnsi="Times New Roman" w:cs="Times New Roman"/>
          <w:b/>
          <w:bCs/>
          <w:sz w:val="24"/>
          <w:szCs w:val="24"/>
        </w:rPr>
        <w:t>KİDR Yazım Komisyonu</w:t>
      </w:r>
      <w:bookmarkEnd w:id="2"/>
      <w:r w:rsidRPr="004E3DCF">
        <w:rPr>
          <w:rFonts w:ascii="Times New Roman" w:hAnsi="Times New Roman" w:cs="Times New Roman"/>
          <w:b/>
          <w:bCs/>
          <w:sz w:val="24"/>
          <w:szCs w:val="24"/>
        </w:rPr>
        <w:t>nun Oluşturulması</w:t>
      </w:r>
    </w:p>
    <w:p w14:paraId="2460EAA2" w14:textId="77777777" w:rsidR="004E3DCF" w:rsidRPr="004E3DCF" w:rsidRDefault="004E3DCF" w:rsidP="004E3DCF">
      <w:pPr>
        <w:spacing w:before="240" w:line="276" w:lineRule="auto"/>
        <w:jc w:val="both"/>
        <w:rPr>
          <w:rFonts w:ascii="Times New Roman" w:hAnsi="Times New Roman" w:cs="Times New Roman"/>
          <w:sz w:val="24"/>
          <w:szCs w:val="24"/>
        </w:rPr>
      </w:pPr>
      <w:proofErr w:type="spellStart"/>
      <w:r w:rsidRPr="004E3DCF">
        <w:rPr>
          <w:rFonts w:ascii="Times New Roman" w:hAnsi="Times New Roman" w:cs="Times New Roman"/>
          <w:sz w:val="24"/>
          <w:szCs w:val="24"/>
        </w:rPr>
        <w:t>KİDR'nun</w:t>
      </w:r>
      <w:proofErr w:type="spellEnd"/>
      <w:r w:rsidRPr="004E3DCF">
        <w:rPr>
          <w:rFonts w:ascii="Times New Roman" w:hAnsi="Times New Roman" w:cs="Times New Roman"/>
          <w:sz w:val="24"/>
          <w:szCs w:val="24"/>
        </w:rPr>
        <w:t xml:space="preserve"> hazırlanması amacıyla, kaliteden sorumlu Rektör Yardımcısı tarafından KİDR Yazım Komisyonu oluşturulur. Komisyon bünyesinde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dört ana ölçütü doğrultusunda liderlik, yönetişim ve kalite; eğitim ve </w:t>
      </w:r>
      <w:proofErr w:type="gramStart"/>
      <w:r w:rsidRPr="004E3DCF">
        <w:rPr>
          <w:rFonts w:ascii="Times New Roman" w:hAnsi="Times New Roman" w:cs="Times New Roman"/>
          <w:sz w:val="24"/>
          <w:szCs w:val="24"/>
        </w:rPr>
        <w:t>öğretim;</w:t>
      </w:r>
      <w:proofErr w:type="gramEnd"/>
      <w:r w:rsidRPr="004E3DCF">
        <w:rPr>
          <w:rFonts w:ascii="Times New Roman" w:hAnsi="Times New Roman" w:cs="Times New Roman"/>
          <w:sz w:val="24"/>
          <w:szCs w:val="24"/>
        </w:rPr>
        <w:t xml:space="preserve"> araştırma ve geliştirme ile toplumsal katkı alanlarından sorumlu dört çalışma grubu belirlenir. Çalışma gruplarının görev dağılımı ve rapor bölümlerinin teslim takvimi Kalite ve Akreditasyon Koordinatörlüğü tarafından koordine edilir.</w:t>
      </w:r>
    </w:p>
    <w:p w14:paraId="2A0D56B4"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5.4. Rapor Bölümlerinin Hazırlanması</w:t>
      </w:r>
    </w:p>
    <w:p w14:paraId="5CC3FDE6"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Çalışma grupları, birimlerden sağlanan </w:t>
      </w:r>
      <w:proofErr w:type="spellStart"/>
      <w:r w:rsidRPr="004E3DCF">
        <w:rPr>
          <w:rFonts w:ascii="Times New Roman" w:hAnsi="Times New Roman" w:cs="Times New Roman"/>
          <w:sz w:val="24"/>
          <w:szCs w:val="24"/>
        </w:rPr>
        <w:t>BÖDR'ler</w:t>
      </w:r>
      <w:proofErr w:type="spellEnd"/>
      <w:r w:rsidRPr="004E3DCF">
        <w:rPr>
          <w:rFonts w:ascii="Times New Roman" w:hAnsi="Times New Roman" w:cs="Times New Roman"/>
          <w:sz w:val="24"/>
          <w:szCs w:val="24"/>
        </w:rPr>
        <w:t xml:space="preserve"> ile kurumsal bilgi, veri ve kanıtları esas alarak sorumlu oldukları rapor bölümlerini hazırlar. Raporlama sürecinde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güncel KİDR Hazırlama Kılavuzunda belirtilen ölçütler, yazım kuralları ve kanıt sunum esasları dikkate alınır. Hazırlanan bölümler belirlenen takvim içerisinde Kalite ve Akreditasyon Koordinatörlüğüne iletilir.</w:t>
      </w:r>
    </w:p>
    <w:p w14:paraId="65F03778"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5.5. Raporun Bütünleştirilmesi ve Son Kontrolü</w:t>
      </w:r>
    </w:p>
    <w:p w14:paraId="4B8CEB68"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Komisyondan gelen rapor bölümleri, Kalite ve Akreditasyon Koordinatörlüğü tarafından birleştirilerek KİDR taslağı oluşturulur. Taslak; içerik bütünlüğü, ölçütlerle uyum, bilgi ve verilerin tutarlılığı, kanıtların uygunluğu ve yazım kuralları açısından incelenir. Gerekli görülen düzeltme ve tamamlamalar ilgili çalışma grupları ve birimlerle iletişim kurularak gerçekleştirilir. Son hâli verilen rapor, kaliteden sorumlu Rektör Yardımcısının değerlendirmesine sunulur.</w:t>
      </w:r>
    </w:p>
    <w:p w14:paraId="782FD570"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 KİDR YAZIM İLKELERİ VE KANITLARIN SUNULMASI</w:t>
      </w:r>
    </w:p>
    <w:p w14:paraId="5E1C0FAA"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6.1. Genel Yazım İlkeleri</w:t>
      </w:r>
    </w:p>
    <w:p w14:paraId="7591CED6"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KİDR, YÖKAK tarafından yayımlanan güncel KİDR Hazırlama Kılavuzunda belirtilen rapor yapısı, yazım kuralları ve değerlendirme ölçütleri doğrultusunda hazırlanır. Raporun yazımında açık, anlaşılır, nesnel ve kanıta dayalı bir dil kullanılır; gereksiz tekrar ve ayrıntılardan kaçınılır.</w:t>
      </w:r>
    </w:p>
    <w:p w14:paraId="75B8DF06"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Rapor, Üniversitenin mevcut uygulamalarını, bu uygulamaların kurumsal düzeyde yaygınlığını, izleme sonuçlarını ve gerçekleştirilen iyileştirmeleri ortaya koyacak şekilde hazırlanır. Kişisel verilerin korunmasına ilişkin mevzuat hükümlerine uyulur. Önceki yıllara ait bilgiler, yalnızca güncel değerlendirmeye ve gelişimin gösterilmesine katkı sağladığı ölçüde kullanılır.</w:t>
      </w:r>
    </w:p>
    <w:p w14:paraId="5050EFFA"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6.2. Ölçütler ve Olgunluk Düzeyleri</w:t>
      </w:r>
    </w:p>
    <w:p w14:paraId="4C131AF8"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KİDR,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liderlik, yönetişim ve kalite, eğitim ve öğretim, araştırma ve geliştirme ile toplumsal katkı ana ölçütleri ve bunlara bağlı alt ölçütler esas alınarak hazırlanır.</w:t>
      </w:r>
    </w:p>
    <w:p w14:paraId="13FE6B1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Her alt ölçüte ilişkin açıklamalarda mevcut uygulamalar, uygulamaların yaygınlığı, izleme ve değerlendirme sonuçları ile gerçekleştirilen iyileştirmeler dikkate alınır. Olgunluk düzeyleri, </w:t>
      </w:r>
      <w:proofErr w:type="spellStart"/>
      <w:r w:rsidRPr="004E3DCF">
        <w:rPr>
          <w:rFonts w:ascii="Times New Roman" w:hAnsi="Times New Roman" w:cs="Times New Roman"/>
          <w:sz w:val="24"/>
          <w:szCs w:val="24"/>
        </w:rPr>
        <w:lastRenderedPageBreak/>
        <w:t>YÖKAK'ın</w:t>
      </w:r>
      <w:proofErr w:type="spellEnd"/>
      <w:r w:rsidRPr="004E3DCF">
        <w:rPr>
          <w:rFonts w:ascii="Times New Roman" w:hAnsi="Times New Roman" w:cs="Times New Roman"/>
          <w:sz w:val="24"/>
          <w:szCs w:val="24"/>
        </w:rPr>
        <w:t xml:space="preserve"> dereceli değerlendirme anahtarı doğrultusunda belirlenir ve uygun kanıtlarla desteklenir.</w:t>
      </w:r>
    </w:p>
    <w:p w14:paraId="225E5640"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6.3. PUKÖ Döngüsünün Raporlamaya Yansıtılması</w:t>
      </w:r>
    </w:p>
    <w:p w14:paraId="181F9E6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Alt ölçütlere ilişkin değerlendirmelerde Planla-Uygula-Kontrol Et-Önlem Al (PUKÖ) döngüsünün aşamaları dikkate alınır. Bu kapsamda uygulamaların planlanması, gerçekleştirilmesi, sonuçlarının izlenmesi ve değerlendirme sonuçlarına dayalı iyileştirmelerin yapılması arasındaki ilişki ortaya konulur.</w:t>
      </w:r>
    </w:p>
    <w:p w14:paraId="100BD3DF"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Yalnızca faaliyetlerin gerçekleştirilmesi yeterli görülmez; izleme sonuçlarının karar alma ve iyileştirme süreçlerine nasıl yansıtıldığı da açıklanır.</w:t>
      </w:r>
    </w:p>
    <w:p w14:paraId="30CBC351"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6.4. Kanıtların Seçilmesi ve Sunulması</w:t>
      </w:r>
    </w:p>
    <w:p w14:paraId="1410C1D6" w14:textId="77777777" w:rsidR="004E3DCF" w:rsidRPr="004E3DCF" w:rsidRDefault="004E3DCF" w:rsidP="004E3DCF">
      <w:pPr>
        <w:spacing w:before="240" w:line="276" w:lineRule="auto"/>
        <w:jc w:val="both"/>
        <w:rPr>
          <w:rFonts w:ascii="Times New Roman" w:hAnsi="Times New Roman" w:cs="Times New Roman"/>
          <w:sz w:val="24"/>
          <w:szCs w:val="24"/>
        </w:rPr>
      </w:pPr>
      <w:proofErr w:type="spellStart"/>
      <w:r w:rsidRPr="004E3DCF">
        <w:rPr>
          <w:rFonts w:ascii="Times New Roman" w:hAnsi="Times New Roman" w:cs="Times New Roman"/>
          <w:sz w:val="24"/>
          <w:szCs w:val="24"/>
        </w:rPr>
        <w:t>KİDR'de</w:t>
      </w:r>
      <w:proofErr w:type="spellEnd"/>
      <w:r w:rsidRPr="004E3DCF">
        <w:rPr>
          <w:rFonts w:ascii="Times New Roman" w:hAnsi="Times New Roman" w:cs="Times New Roman"/>
          <w:sz w:val="24"/>
          <w:szCs w:val="24"/>
        </w:rPr>
        <w:t xml:space="preserve"> kullanılan kanıtlar, ilgili alt ölçütte açıklanan uygulamaları ve belirtilen olgunluk düzeyini destekleyecek nitelikte olmalıdır. Kanıtların güncel, doğrulanabilir, erişilebilir ve açıklamalarla doğrudan ilişkili olmasına dikkat edilir.</w:t>
      </w:r>
    </w:p>
    <w:p w14:paraId="61E8E630"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Kanıt olarak kurumsal düzenlemeler, raporlar, toplantı kararları, izleme ve değerlendirme sonuçları, performans göstergeleri, paydaş geri bildirimleri ve iyileştirme kayıtları gibi belgeler kullanılabilir.</w:t>
      </w:r>
    </w:p>
    <w:p w14:paraId="3ED3A929"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Kanıtların yalnızca faaliyetlerin gerçekleştirildiğini değil, mümkün olduğunda uygulamaların sonuçlarını, izlenmesini ve iyileştirmelere katkısını da göstermesi esastır.</w:t>
      </w:r>
    </w:p>
    <w:p w14:paraId="590D6F0C"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6.5. Kanıtların Adlandırılması ve Metin İçinde Gösterilmesi</w:t>
      </w:r>
    </w:p>
    <w:p w14:paraId="736A0170"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Kanıtların adlandırılması, numaralandırılması ve metin içerisinde gösterilmesinde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güncel KİDR Hazırlama Kılavuzunda belirtilen esaslar uygulanır.</w:t>
      </w:r>
    </w:p>
    <w:p w14:paraId="44C61CF9"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Kanıtlar ilgili alt ölçütlerle ilişkilendirilir ve metin içerisinde açıklamayı destekleyen uygun noktalarda gösterilir. Aynı kanıtın gereksiz tekrarından kaçınılır. Elektronik bağlantılarla sunulan kanıtların erişilebilirliği kontrol edilir.</w:t>
      </w:r>
    </w:p>
    <w:p w14:paraId="7F525CE3"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6.6. Önceki Yıllarla Karşılaştırma ve İyileştirmelerin Gösterilmesi</w:t>
      </w:r>
    </w:p>
    <w:p w14:paraId="15C267E7" w14:textId="77777777" w:rsidR="004E3DCF" w:rsidRPr="004E3DCF" w:rsidRDefault="004E3DCF" w:rsidP="004E3DCF">
      <w:pPr>
        <w:spacing w:before="240" w:line="276" w:lineRule="auto"/>
        <w:jc w:val="both"/>
        <w:rPr>
          <w:rFonts w:ascii="Times New Roman" w:hAnsi="Times New Roman" w:cs="Times New Roman"/>
          <w:sz w:val="24"/>
          <w:szCs w:val="24"/>
        </w:rPr>
      </w:pPr>
      <w:proofErr w:type="spellStart"/>
      <w:r w:rsidRPr="004E3DCF">
        <w:rPr>
          <w:rFonts w:ascii="Times New Roman" w:hAnsi="Times New Roman" w:cs="Times New Roman"/>
          <w:sz w:val="24"/>
          <w:szCs w:val="24"/>
        </w:rPr>
        <w:t>KİDR'de</w:t>
      </w:r>
      <w:proofErr w:type="spellEnd"/>
      <w:r w:rsidRPr="004E3DCF">
        <w:rPr>
          <w:rFonts w:ascii="Times New Roman" w:hAnsi="Times New Roman" w:cs="Times New Roman"/>
          <w:sz w:val="24"/>
          <w:szCs w:val="24"/>
        </w:rPr>
        <w:t>, önceki yıllarda belirlenen gelişmeye açık alanlara yönelik gerçekleştirilen çalışmalar ve elde edilen sonuçlar değerlendirilir. Kurumsal değerlendirme raporları, izleme sonuçları, performans göstergeleri ve paydaş geri bildirimlerinden yararlanılarak gelişmeler ortaya konulur.</w:t>
      </w:r>
    </w:p>
    <w:p w14:paraId="5E18D113" w14:textId="6BC2D90F" w:rsid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İyileştirme çalışmalarının yalnızca planlanması veya gerçekleştirilmesi değil, sonuçlarının izlenmesi ve kurumsal süreçlere katkısının değerlendirilmesi esas alınır.</w:t>
      </w:r>
    </w:p>
    <w:p w14:paraId="2D0DF3E9" w14:textId="0B52F502" w:rsidR="00B42155" w:rsidRDefault="00B42155" w:rsidP="004E3DCF">
      <w:pPr>
        <w:spacing w:before="240" w:line="276" w:lineRule="auto"/>
        <w:jc w:val="both"/>
        <w:rPr>
          <w:rFonts w:ascii="Times New Roman" w:hAnsi="Times New Roman" w:cs="Times New Roman"/>
          <w:sz w:val="24"/>
          <w:szCs w:val="24"/>
        </w:rPr>
      </w:pPr>
    </w:p>
    <w:p w14:paraId="088E0C85" w14:textId="4C830609" w:rsidR="00B42155" w:rsidRDefault="00B42155" w:rsidP="004E3DCF">
      <w:pPr>
        <w:spacing w:before="240" w:line="276" w:lineRule="auto"/>
        <w:jc w:val="both"/>
        <w:rPr>
          <w:rFonts w:ascii="Times New Roman" w:hAnsi="Times New Roman" w:cs="Times New Roman"/>
          <w:sz w:val="24"/>
          <w:szCs w:val="24"/>
        </w:rPr>
      </w:pPr>
    </w:p>
    <w:p w14:paraId="598B5831" w14:textId="77777777" w:rsidR="00B42155" w:rsidRPr="004E3DCF" w:rsidRDefault="00B42155" w:rsidP="004E3DCF">
      <w:pPr>
        <w:spacing w:before="240" w:line="276" w:lineRule="auto"/>
        <w:jc w:val="both"/>
        <w:rPr>
          <w:rFonts w:ascii="Times New Roman" w:hAnsi="Times New Roman" w:cs="Times New Roman"/>
          <w:sz w:val="24"/>
          <w:szCs w:val="24"/>
        </w:rPr>
      </w:pPr>
    </w:p>
    <w:p w14:paraId="79199CAB"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lastRenderedPageBreak/>
        <w:t>6.7. Yazım ve Kanıt Kontrolü</w:t>
      </w:r>
    </w:p>
    <w:p w14:paraId="669C32FF"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Çalışma grupları, hazırladıkları rapor bölümlerinin ilgili ölçütlerle uyumunu, açıklamaların yeterliliğini ve kanıtların uygunluğunu kontrol ederek Kalite ve Akreditasyon Koordinatörlüğüne iletir.</w:t>
      </w:r>
    </w:p>
    <w:p w14:paraId="115D499D"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Koordinatörlük, raporun bütünleştirilmesi aşamasında yazım birliğini, içerik tutarlılığını, kanıtların uygunluğunu ve </w:t>
      </w:r>
      <w:proofErr w:type="spellStart"/>
      <w:r w:rsidRPr="004E3DCF">
        <w:rPr>
          <w:rFonts w:ascii="Times New Roman" w:hAnsi="Times New Roman" w:cs="Times New Roman"/>
          <w:sz w:val="24"/>
          <w:szCs w:val="24"/>
        </w:rPr>
        <w:t>YÖKAK'ın</w:t>
      </w:r>
      <w:proofErr w:type="spellEnd"/>
      <w:r w:rsidRPr="004E3DCF">
        <w:rPr>
          <w:rFonts w:ascii="Times New Roman" w:hAnsi="Times New Roman" w:cs="Times New Roman"/>
          <w:sz w:val="24"/>
          <w:szCs w:val="24"/>
        </w:rPr>
        <w:t xml:space="preserve"> güncel raporlama esaslarına uyumu gözden geçirir. Gerekli düzeltmeler ilgili çalışma gruplarıyla birlikte tamamlanır.</w:t>
      </w:r>
    </w:p>
    <w:p w14:paraId="42DDD1DE"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7. RAPORUN DEĞERLENDİRİLMESİ VE ONAYLANMASI</w:t>
      </w:r>
    </w:p>
    <w:p w14:paraId="52C91693"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7.1. Kaliteden Sorumlu Rektör Yardımcısının Değerlendirmesi</w:t>
      </w:r>
    </w:p>
    <w:p w14:paraId="0773F8F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Kalite ve Akreditasyon Koordinatörlüğü tarafından son hâli verilen KİDR taslağı, kaliteden sorumlu Rektör Yardımcısının değerlendirmesine sunulur. Rapor, kurumsal öncelikler, stratejik hedefler, kalite yönetim sistemi ve değerlendirme sonuçları açısından incelenir. Gerekli görülen düzenlemeler Kalite ve Akreditasyon Koordinatörlüğü tarafından gerçekleştirilerek rapor Rektörün değerlendirmesine sunulur.</w:t>
      </w:r>
    </w:p>
    <w:p w14:paraId="072212D7"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7.2. Rektörün Değerlendirmesi</w:t>
      </w:r>
    </w:p>
    <w:p w14:paraId="41397B0D"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Rektör, KİDR taslağını Üniversitenin kurumsal yönetimi, stratejik hedefleri ve gelişim öncelikleri doğrultusunda değerlendirir. Gerekli görülen düzenlemeler tamamlandıktan sonra rapor, Üniversite Kalite Komisyonunun görüşüne sunulur.</w:t>
      </w:r>
    </w:p>
    <w:p w14:paraId="55327D5C"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7.3. Üniversite Kalite Komisyonunun Değerlendirmesi</w:t>
      </w:r>
    </w:p>
    <w:p w14:paraId="0D0011E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 xml:space="preserve">Üniversite Kalite Komisyonu, </w:t>
      </w:r>
      <w:proofErr w:type="spellStart"/>
      <w:r w:rsidRPr="004E3DCF">
        <w:rPr>
          <w:rFonts w:ascii="Times New Roman" w:hAnsi="Times New Roman" w:cs="Times New Roman"/>
          <w:sz w:val="24"/>
          <w:szCs w:val="24"/>
        </w:rPr>
        <w:t>KİDR'yi</w:t>
      </w:r>
      <w:proofErr w:type="spellEnd"/>
      <w:r w:rsidRPr="004E3DCF">
        <w:rPr>
          <w:rFonts w:ascii="Times New Roman" w:hAnsi="Times New Roman" w:cs="Times New Roman"/>
          <w:sz w:val="24"/>
          <w:szCs w:val="24"/>
        </w:rPr>
        <w:t xml:space="preserve"> kurumsal değerlendirme sonuçları, güçlü ve gelişmeye açık alanlar ile iyileştirme öncelikleri açısından görüşür. Gerekli düzenlemeler tamamlandıktan sonra rapor Senatonun değerlendirmesine sunulur.</w:t>
      </w:r>
    </w:p>
    <w:p w14:paraId="56BACE50"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7.4. Senato Onayı</w:t>
      </w:r>
    </w:p>
    <w:p w14:paraId="5789AA47"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Üniversite Kalite Komisyonunun değerlendirmesinden geçen KİDR, Senatonun onayına sunulur. Senato tarafından gerekli görülen düzenlemeler tamamlanarak raporun nihai hâli onaylanır. Onaylanan raporun yayımlanmasına ilişkin işlemler Kalite ve Akreditasyon Koordinatörlüğü tarafından yürütülür.</w:t>
      </w:r>
    </w:p>
    <w:p w14:paraId="5756501D"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8. RAPORUN YAYIMLANMASI</w:t>
      </w:r>
    </w:p>
    <w:p w14:paraId="254C5F13"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8.1. YÖKAK Sistemine Yüklenmesi</w:t>
      </w:r>
    </w:p>
    <w:p w14:paraId="7DE81D03"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Senato tarafından onaylanan KİDR, YÖKAK tarafından belirlenen takvim ve raporlama esasları doğrultusunda Kalite ve Akreditasyon Koordinatörlüğü tarafından ilgili sisteme yüklenir. Yükleme işleminin tamamlanması ve raporun sistem üzerinden kontrol edilmesi sağlanır.</w:t>
      </w:r>
    </w:p>
    <w:p w14:paraId="4CADF65F"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lastRenderedPageBreak/>
        <w:t>8.2. Kamuoyuyla Paylaşılması</w:t>
      </w:r>
    </w:p>
    <w:p w14:paraId="48D18522"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Onaylanan KİDR, Başkent Üniversitesinin kurumsal web sayfasında yayımlanarak kamuoyunun erişimine sunulur. Önceki yıllara ait raporların erişilebilirliği korunarak kurumsal değerlendirme sonuçlarının yıllar itibarıyla izlenebilmesi sağlanır.</w:t>
      </w:r>
    </w:p>
    <w:p w14:paraId="28ED5566"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8.3. Kayıtların Muhafazası</w:t>
      </w:r>
    </w:p>
    <w:p w14:paraId="33F2010C"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KİDR hazırlama, değerlendirme ve onay süreçlerine ilişkin raporlar, ilgili yazışmalar, toplantı kararları ve diğer kayıtlar, Üniversitenin dokümante edilmiş bilginin yönetimine ilişkin düzenlemeleri doğrultusunda Kalite ve Akreditasyon Koordinatörlüğü tarafından muhafaza edilir.</w:t>
      </w:r>
    </w:p>
    <w:p w14:paraId="661EFEC7"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9. İZLEME VE İYİLEŞTİRME</w:t>
      </w:r>
    </w:p>
    <w:p w14:paraId="4E20F4D4" w14:textId="77777777" w:rsidR="004E3DCF" w:rsidRPr="004E3DCF" w:rsidRDefault="004E3DCF" w:rsidP="004E3DCF">
      <w:pPr>
        <w:spacing w:before="240" w:line="276" w:lineRule="auto"/>
        <w:jc w:val="both"/>
        <w:rPr>
          <w:rFonts w:ascii="Times New Roman" w:hAnsi="Times New Roman" w:cs="Times New Roman"/>
          <w:sz w:val="24"/>
          <w:szCs w:val="24"/>
        </w:rPr>
      </w:pPr>
      <w:r w:rsidRPr="004E3DCF">
        <w:rPr>
          <w:rFonts w:ascii="Times New Roman" w:hAnsi="Times New Roman" w:cs="Times New Roman"/>
          <w:sz w:val="24"/>
          <w:szCs w:val="24"/>
        </w:rPr>
        <w:t>KİDR kapsamında belirlenen güçlü ve gelişmeye açık alanlar ile iyileştirme önerileri, Üniversitenin kurumsal değerlendirme ve kalite yönetimi süreçlerinde dikkate alınır. Bu kapsamda gerçekleştirilen iyileştirme çalışmaları ve elde edilen sonuçlar, ilgili bilgi, veri ve kanıtlar doğrultusunda değerlendirilerek sonraki dönemlerin BÖDR ve KİDR hazırlama süreçlerine yansıtılır.</w:t>
      </w:r>
    </w:p>
    <w:p w14:paraId="615D4F5E"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10. İLGİLİ DOKÜMANLAR</w:t>
      </w:r>
    </w:p>
    <w:p w14:paraId="53BAA7A2"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10.1. İç Kaynaklı Dokümanlar</w:t>
      </w:r>
    </w:p>
    <w:p w14:paraId="3ABDCD90" w14:textId="77777777" w:rsidR="004E3DCF" w:rsidRPr="00B42155" w:rsidRDefault="004E3DCF" w:rsidP="00B42155">
      <w:pPr>
        <w:pStyle w:val="ListeParagraf"/>
        <w:numPr>
          <w:ilvl w:val="0"/>
          <w:numId w:val="30"/>
        </w:numPr>
        <w:spacing w:before="240" w:line="276" w:lineRule="auto"/>
        <w:ind w:left="284" w:hanging="284"/>
        <w:jc w:val="both"/>
        <w:rPr>
          <w:rFonts w:ascii="Times New Roman" w:hAnsi="Times New Roman" w:cs="Times New Roman"/>
          <w:sz w:val="24"/>
          <w:szCs w:val="24"/>
        </w:rPr>
      </w:pPr>
      <w:r w:rsidRPr="00B42155">
        <w:rPr>
          <w:rFonts w:ascii="Times New Roman" w:hAnsi="Times New Roman" w:cs="Times New Roman"/>
          <w:sz w:val="24"/>
          <w:szCs w:val="24"/>
        </w:rPr>
        <w:t>Başkent Üniversitesi Kalite Güvencesi Yönergesi</w:t>
      </w:r>
    </w:p>
    <w:p w14:paraId="1E83F3BE" w14:textId="77777777" w:rsidR="004E3DCF" w:rsidRPr="00B42155" w:rsidRDefault="004E3DCF" w:rsidP="00B42155">
      <w:pPr>
        <w:pStyle w:val="ListeParagraf"/>
        <w:numPr>
          <w:ilvl w:val="0"/>
          <w:numId w:val="30"/>
        </w:numPr>
        <w:spacing w:before="240" w:line="276" w:lineRule="auto"/>
        <w:ind w:left="284" w:hanging="284"/>
        <w:jc w:val="both"/>
        <w:rPr>
          <w:rFonts w:ascii="Times New Roman" w:hAnsi="Times New Roman" w:cs="Times New Roman"/>
          <w:sz w:val="24"/>
          <w:szCs w:val="24"/>
        </w:rPr>
      </w:pPr>
      <w:r w:rsidRPr="00B42155">
        <w:rPr>
          <w:rFonts w:ascii="Times New Roman" w:hAnsi="Times New Roman" w:cs="Times New Roman"/>
          <w:sz w:val="24"/>
          <w:szCs w:val="24"/>
        </w:rPr>
        <w:t>Başkent Üniversitesi Birim Öz Değerlendirme Raporu (BÖDR) Hazırlama Kılavuzu</w:t>
      </w:r>
    </w:p>
    <w:p w14:paraId="472A7F1D" w14:textId="77777777" w:rsidR="004E3DCF" w:rsidRPr="00B42155" w:rsidRDefault="004E3DCF" w:rsidP="00B42155">
      <w:pPr>
        <w:pStyle w:val="ListeParagraf"/>
        <w:numPr>
          <w:ilvl w:val="0"/>
          <w:numId w:val="30"/>
        </w:numPr>
        <w:spacing w:before="240" w:line="276" w:lineRule="auto"/>
        <w:ind w:left="284" w:hanging="284"/>
        <w:jc w:val="both"/>
        <w:rPr>
          <w:rFonts w:ascii="Times New Roman" w:hAnsi="Times New Roman" w:cs="Times New Roman"/>
          <w:sz w:val="24"/>
          <w:szCs w:val="24"/>
        </w:rPr>
      </w:pPr>
      <w:r w:rsidRPr="00B42155">
        <w:rPr>
          <w:rFonts w:ascii="Times New Roman" w:hAnsi="Times New Roman" w:cs="Times New Roman"/>
          <w:sz w:val="24"/>
          <w:szCs w:val="24"/>
        </w:rPr>
        <w:t>Dokümante Edilmiş Bilginin Yönetimi Prosedürü (</w:t>
      </w:r>
      <w:proofErr w:type="gramStart"/>
      <w:r w:rsidRPr="00B42155">
        <w:rPr>
          <w:rFonts w:ascii="Times New Roman" w:hAnsi="Times New Roman" w:cs="Times New Roman"/>
          <w:sz w:val="24"/>
          <w:szCs w:val="24"/>
        </w:rPr>
        <w:t>BÜ.PRSD</w:t>
      </w:r>
      <w:proofErr w:type="gramEnd"/>
      <w:r w:rsidRPr="00B42155">
        <w:rPr>
          <w:rFonts w:ascii="Times New Roman" w:hAnsi="Times New Roman" w:cs="Times New Roman"/>
          <w:sz w:val="24"/>
          <w:szCs w:val="24"/>
        </w:rPr>
        <w:t>.01)</w:t>
      </w:r>
    </w:p>
    <w:p w14:paraId="445B5320" w14:textId="77777777" w:rsidR="004E3DCF" w:rsidRPr="00B42155" w:rsidRDefault="004E3DCF" w:rsidP="00B42155">
      <w:pPr>
        <w:pStyle w:val="ListeParagraf"/>
        <w:numPr>
          <w:ilvl w:val="0"/>
          <w:numId w:val="30"/>
        </w:numPr>
        <w:spacing w:before="240" w:line="276" w:lineRule="auto"/>
        <w:ind w:left="284" w:hanging="284"/>
        <w:jc w:val="both"/>
        <w:rPr>
          <w:rFonts w:ascii="Times New Roman" w:hAnsi="Times New Roman" w:cs="Times New Roman"/>
          <w:sz w:val="24"/>
          <w:szCs w:val="24"/>
        </w:rPr>
      </w:pPr>
      <w:r w:rsidRPr="00B42155">
        <w:rPr>
          <w:rFonts w:ascii="Times New Roman" w:hAnsi="Times New Roman" w:cs="Times New Roman"/>
          <w:sz w:val="24"/>
          <w:szCs w:val="24"/>
        </w:rPr>
        <w:t>Kayıtların Kontrolü Prosedürü (</w:t>
      </w:r>
      <w:proofErr w:type="gramStart"/>
      <w:r w:rsidRPr="00B42155">
        <w:rPr>
          <w:rFonts w:ascii="Times New Roman" w:hAnsi="Times New Roman" w:cs="Times New Roman"/>
          <w:sz w:val="24"/>
          <w:szCs w:val="24"/>
        </w:rPr>
        <w:t>BÜ.PRSD</w:t>
      </w:r>
      <w:proofErr w:type="gramEnd"/>
      <w:r w:rsidRPr="00B42155">
        <w:rPr>
          <w:rFonts w:ascii="Times New Roman" w:hAnsi="Times New Roman" w:cs="Times New Roman"/>
          <w:sz w:val="24"/>
          <w:szCs w:val="24"/>
        </w:rPr>
        <w:t>.02)</w:t>
      </w:r>
    </w:p>
    <w:p w14:paraId="7E90D96C" w14:textId="77777777" w:rsidR="004E3DCF" w:rsidRPr="00B42155" w:rsidRDefault="004E3DCF" w:rsidP="00B42155">
      <w:pPr>
        <w:pStyle w:val="ListeParagraf"/>
        <w:numPr>
          <w:ilvl w:val="0"/>
          <w:numId w:val="30"/>
        </w:numPr>
        <w:spacing w:before="240" w:line="276" w:lineRule="auto"/>
        <w:ind w:left="284" w:hanging="284"/>
        <w:jc w:val="both"/>
        <w:rPr>
          <w:rFonts w:ascii="Times New Roman" w:hAnsi="Times New Roman" w:cs="Times New Roman"/>
          <w:sz w:val="24"/>
          <w:szCs w:val="24"/>
        </w:rPr>
      </w:pPr>
      <w:r w:rsidRPr="00B42155">
        <w:rPr>
          <w:rFonts w:ascii="Times New Roman" w:hAnsi="Times New Roman" w:cs="Times New Roman"/>
          <w:sz w:val="24"/>
          <w:szCs w:val="24"/>
        </w:rPr>
        <w:t>Yönetimin Sistemi Gözden Geçirmesi Prosedürü (</w:t>
      </w:r>
      <w:proofErr w:type="gramStart"/>
      <w:r w:rsidRPr="00B42155">
        <w:rPr>
          <w:rFonts w:ascii="Times New Roman" w:hAnsi="Times New Roman" w:cs="Times New Roman"/>
          <w:sz w:val="24"/>
          <w:szCs w:val="24"/>
        </w:rPr>
        <w:t>BÜ.PRSD</w:t>
      </w:r>
      <w:proofErr w:type="gramEnd"/>
      <w:r w:rsidRPr="00B42155">
        <w:rPr>
          <w:rFonts w:ascii="Times New Roman" w:hAnsi="Times New Roman" w:cs="Times New Roman"/>
          <w:sz w:val="24"/>
          <w:szCs w:val="24"/>
        </w:rPr>
        <w:t>.07)</w:t>
      </w:r>
    </w:p>
    <w:p w14:paraId="15F20C88" w14:textId="77777777" w:rsidR="004E3DCF" w:rsidRPr="004E3DCF" w:rsidRDefault="004E3DCF" w:rsidP="004E3DCF">
      <w:pPr>
        <w:spacing w:before="240" w:line="276" w:lineRule="auto"/>
        <w:jc w:val="both"/>
        <w:rPr>
          <w:rFonts w:ascii="Times New Roman" w:hAnsi="Times New Roman" w:cs="Times New Roman"/>
          <w:b/>
          <w:bCs/>
          <w:sz w:val="24"/>
          <w:szCs w:val="24"/>
        </w:rPr>
      </w:pPr>
      <w:r w:rsidRPr="004E3DCF">
        <w:rPr>
          <w:rFonts w:ascii="Times New Roman" w:hAnsi="Times New Roman" w:cs="Times New Roman"/>
          <w:b/>
          <w:bCs/>
          <w:sz w:val="24"/>
          <w:szCs w:val="24"/>
        </w:rPr>
        <w:t>10.2. Dış Kaynaklı Dokümanlar</w:t>
      </w:r>
    </w:p>
    <w:p w14:paraId="01D78079" w14:textId="77777777" w:rsidR="004E3DCF" w:rsidRPr="00B42155" w:rsidRDefault="004E3DCF" w:rsidP="00B42155">
      <w:pPr>
        <w:pStyle w:val="ListeParagraf"/>
        <w:numPr>
          <w:ilvl w:val="0"/>
          <w:numId w:val="31"/>
        </w:numPr>
        <w:spacing w:before="240" w:line="276" w:lineRule="auto"/>
        <w:ind w:left="426" w:hanging="426"/>
        <w:jc w:val="both"/>
        <w:rPr>
          <w:rFonts w:ascii="Times New Roman" w:hAnsi="Times New Roman" w:cs="Times New Roman"/>
          <w:sz w:val="24"/>
          <w:szCs w:val="24"/>
        </w:rPr>
      </w:pPr>
      <w:r w:rsidRPr="00B42155">
        <w:rPr>
          <w:rFonts w:ascii="Times New Roman" w:hAnsi="Times New Roman" w:cs="Times New Roman"/>
          <w:sz w:val="24"/>
          <w:szCs w:val="24"/>
        </w:rPr>
        <w:t>2547 sayılı Yükseköğretim Kanunu</w:t>
      </w:r>
    </w:p>
    <w:p w14:paraId="436844E0" w14:textId="77777777" w:rsidR="004E3DCF" w:rsidRPr="00B42155" w:rsidRDefault="004E3DCF" w:rsidP="00B42155">
      <w:pPr>
        <w:pStyle w:val="ListeParagraf"/>
        <w:numPr>
          <w:ilvl w:val="0"/>
          <w:numId w:val="31"/>
        </w:numPr>
        <w:spacing w:before="240" w:line="276" w:lineRule="auto"/>
        <w:ind w:left="426" w:hanging="426"/>
        <w:jc w:val="both"/>
        <w:rPr>
          <w:rFonts w:ascii="Times New Roman" w:hAnsi="Times New Roman" w:cs="Times New Roman"/>
          <w:sz w:val="24"/>
          <w:szCs w:val="24"/>
        </w:rPr>
      </w:pPr>
      <w:r w:rsidRPr="00B42155">
        <w:rPr>
          <w:rFonts w:ascii="Times New Roman" w:hAnsi="Times New Roman" w:cs="Times New Roman"/>
          <w:sz w:val="24"/>
          <w:szCs w:val="24"/>
        </w:rPr>
        <w:t>Yükseköğretim Kalite Güvencesi ve Yükseköğretim Kalite Kurulu Yönetmeliği</w:t>
      </w:r>
    </w:p>
    <w:p w14:paraId="12271195" w14:textId="77777777" w:rsidR="004E3DCF" w:rsidRPr="00B42155" w:rsidRDefault="004E3DCF" w:rsidP="00B42155">
      <w:pPr>
        <w:pStyle w:val="ListeParagraf"/>
        <w:numPr>
          <w:ilvl w:val="0"/>
          <w:numId w:val="31"/>
        </w:numPr>
        <w:spacing w:before="240" w:line="276" w:lineRule="auto"/>
        <w:ind w:left="426" w:hanging="426"/>
        <w:jc w:val="both"/>
        <w:rPr>
          <w:rFonts w:ascii="Times New Roman" w:hAnsi="Times New Roman" w:cs="Times New Roman"/>
          <w:sz w:val="24"/>
          <w:szCs w:val="24"/>
        </w:rPr>
      </w:pPr>
      <w:r w:rsidRPr="00B42155">
        <w:rPr>
          <w:rFonts w:ascii="Times New Roman" w:hAnsi="Times New Roman" w:cs="Times New Roman"/>
          <w:sz w:val="24"/>
          <w:szCs w:val="24"/>
        </w:rPr>
        <w:t>YÖKAK Kurum İç Değerlendirme Raporu Hazırlama Kılavuzu (güncel sürüm)</w:t>
      </w:r>
    </w:p>
    <w:p w14:paraId="7FDA4130" w14:textId="77777777" w:rsidR="004E3DCF" w:rsidRPr="00B42155" w:rsidRDefault="004E3DCF" w:rsidP="00B42155">
      <w:pPr>
        <w:pStyle w:val="ListeParagraf"/>
        <w:numPr>
          <w:ilvl w:val="0"/>
          <w:numId w:val="31"/>
        </w:numPr>
        <w:spacing w:before="240" w:line="276" w:lineRule="auto"/>
        <w:ind w:left="426" w:hanging="426"/>
        <w:jc w:val="both"/>
        <w:rPr>
          <w:rFonts w:ascii="Times New Roman" w:hAnsi="Times New Roman" w:cs="Times New Roman"/>
          <w:sz w:val="24"/>
          <w:szCs w:val="24"/>
        </w:rPr>
      </w:pPr>
      <w:r w:rsidRPr="00B42155">
        <w:rPr>
          <w:rFonts w:ascii="Times New Roman" w:hAnsi="Times New Roman" w:cs="Times New Roman"/>
          <w:sz w:val="24"/>
          <w:szCs w:val="24"/>
        </w:rPr>
        <w:t>YÖKAK Kurumsal Dış Değerlendirme ve Akreditasyon Ölçütleri (güncel sürüm)</w:t>
      </w:r>
    </w:p>
    <w:p w14:paraId="7303DA40" w14:textId="77777777" w:rsidR="004E3DCF" w:rsidRPr="00B42155" w:rsidRDefault="004E3DCF" w:rsidP="00B42155">
      <w:pPr>
        <w:pStyle w:val="ListeParagraf"/>
        <w:numPr>
          <w:ilvl w:val="0"/>
          <w:numId w:val="31"/>
        </w:numPr>
        <w:spacing w:before="240" w:line="276" w:lineRule="auto"/>
        <w:ind w:left="426" w:hanging="426"/>
        <w:jc w:val="both"/>
        <w:rPr>
          <w:rFonts w:ascii="Times New Roman" w:hAnsi="Times New Roman" w:cs="Times New Roman"/>
          <w:sz w:val="24"/>
          <w:szCs w:val="24"/>
        </w:rPr>
      </w:pPr>
      <w:r w:rsidRPr="00B42155">
        <w:rPr>
          <w:rFonts w:ascii="Times New Roman" w:hAnsi="Times New Roman" w:cs="Times New Roman"/>
          <w:sz w:val="24"/>
          <w:szCs w:val="24"/>
        </w:rPr>
        <w:t>YÖKAK Dereceli Değerlendirme Anahtarı (Rubrik)</w:t>
      </w:r>
    </w:p>
    <w:p w14:paraId="75D8C75A" w14:textId="77777777" w:rsidR="004E3DCF" w:rsidRPr="004E3DCF" w:rsidRDefault="004E3DCF" w:rsidP="004E3DCF">
      <w:pPr>
        <w:spacing w:before="240" w:line="276" w:lineRule="auto"/>
        <w:jc w:val="both"/>
        <w:rPr>
          <w:rFonts w:ascii="Times New Roman" w:hAnsi="Times New Roman" w:cs="Times New Roman"/>
          <w:sz w:val="24"/>
          <w:szCs w:val="24"/>
        </w:rPr>
      </w:pPr>
    </w:p>
    <w:bookmarkEnd w:id="0"/>
    <w:p w14:paraId="1864BC83" w14:textId="764A6362" w:rsidR="004E3DCF" w:rsidRDefault="004E3DCF" w:rsidP="004E3DCF">
      <w:pPr>
        <w:spacing w:before="240" w:line="276" w:lineRule="auto"/>
        <w:jc w:val="both"/>
        <w:rPr>
          <w:rFonts w:ascii="Times New Roman" w:hAnsi="Times New Roman" w:cs="Times New Roman"/>
          <w:sz w:val="24"/>
          <w:szCs w:val="24"/>
        </w:rPr>
      </w:pPr>
    </w:p>
    <w:p w14:paraId="1ED396EC" w14:textId="36519A00" w:rsidR="00D31307" w:rsidRDefault="00D31307" w:rsidP="004E3DCF">
      <w:pPr>
        <w:spacing w:before="240" w:line="276" w:lineRule="auto"/>
        <w:jc w:val="both"/>
        <w:rPr>
          <w:rFonts w:ascii="Times New Roman" w:hAnsi="Times New Roman" w:cs="Times New Roman"/>
          <w:sz w:val="24"/>
          <w:szCs w:val="24"/>
        </w:rPr>
      </w:pPr>
    </w:p>
    <w:p w14:paraId="738DC9AA" w14:textId="217E6C88" w:rsidR="00D31307" w:rsidRDefault="00D31307" w:rsidP="004E3DCF">
      <w:pPr>
        <w:spacing w:before="240" w:line="276" w:lineRule="auto"/>
        <w:jc w:val="both"/>
        <w:rPr>
          <w:rFonts w:ascii="Times New Roman" w:hAnsi="Times New Roman" w:cs="Times New Roman"/>
          <w:sz w:val="24"/>
          <w:szCs w:val="24"/>
        </w:rPr>
      </w:pPr>
    </w:p>
    <w:p w14:paraId="0A1654EF" w14:textId="15C4F8CB" w:rsidR="00D31307" w:rsidRDefault="00D31307" w:rsidP="004E3DCF">
      <w:pPr>
        <w:spacing w:before="240" w:line="276" w:lineRule="auto"/>
        <w:jc w:val="both"/>
        <w:rPr>
          <w:rFonts w:ascii="Times New Roman" w:hAnsi="Times New Roman" w:cs="Times New Roman"/>
          <w:sz w:val="24"/>
          <w:szCs w:val="24"/>
        </w:rPr>
      </w:pPr>
    </w:p>
    <w:p w14:paraId="40893E6A" w14:textId="569FBE02" w:rsidR="00D31307" w:rsidRPr="004E3DCF" w:rsidRDefault="00D31307" w:rsidP="004E3DCF">
      <w:pPr>
        <w:spacing w:before="240" w:line="276" w:lineRule="auto"/>
        <w:jc w:val="both"/>
        <w:rPr>
          <w:rFonts w:ascii="Times New Roman" w:hAnsi="Times New Roman" w:cs="Times New Roman"/>
          <w:sz w:val="24"/>
          <w:szCs w:val="24"/>
        </w:rPr>
      </w:pPr>
      <w:r w:rsidRPr="00D31307">
        <w:rPr>
          <w:rFonts w:ascii="Times New Roman" w:hAnsi="Times New Roman" w:cs="Times New Roman"/>
          <w:sz w:val="24"/>
          <w:szCs w:val="24"/>
        </w:rPr>
        <w:lastRenderedPageBreak/>
        <w:drawing>
          <wp:inline distT="0" distB="0" distL="0" distR="0" wp14:anchorId="49493E19" wp14:editId="05B26529">
            <wp:extent cx="6155141" cy="8891270"/>
            <wp:effectExtent l="0" t="0" r="0" b="508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61416" cy="8900335"/>
                    </a:xfrm>
                    <a:prstGeom prst="rect">
                      <a:avLst/>
                    </a:prstGeom>
                  </pic:spPr>
                </pic:pic>
              </a:graphicData>
            </a:graphic>
          </wp:inline>
        </w:drawing>
      </w:r>
    </w:p>
    <w:sectPr w:rsidR="00D31307" w:rsidRPr="004E3DCF">
      <w:headerReference w:type="default" r:id="rId10"/>
      <w:footerReference w:type="default" r:id="rId11"/>
      <w:pgSz w:w="11906" w:h="16838" w:code="9"/>
      <w:pgMar w:top="1418" w:right="99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4F214" w14:textId="77777777" w:rsidR="003C6CFD" w:rsidRDefault="003C6CFD">
      <w:pPr>
        <w:spacing w:after="0" w:line="240" w:lineRule="auto"/>
      </w:pPr>
      <w:r>
        <w:separator/>
      </w:r>
    </w:p>
  </w:endnote>
  <w:endnote w:type="continuationSeparator" w:id="0">
    <w:p w14:paraId="65CD6F0C" w14:textId="77777777" w:rsidR="003C6CFD" w:rsidRDefault="003C6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432598"/>
      <w:docPartObj>
        <w:docPartGallery w:val="Page Numbers (Bottom of Page)"/>
        <w:docPartUnique/>
      </w:docPartObj>
    </w:sdtPr>
    <w:sdtEndPr/>
    <w:sdtContent>
      <w:p w14:paraId="1809F7BE" w14:textId="77777777" w:rsidR="007A1E69" w:rsidRDefault="005C006A">
        <w:pPr>
          <w:pStyle w:val="AltBilgi"/>
          <w:jc w:val="right"/>
        </w:pPr>
        <w:r>
          <w:rPr>
            <w:rFonts w:ascii="Times New Roman" w:eastAsia="Calibri" w:hAnsi="Times New Roman" w:cs="Times New Roman"/>
            <w:sz w:val="24"/>
            <w:szCs w:val="24"/>
            <w:shd w:val="clear" w:color="auto" w:fill="C00000"/>
          </w:rPr>
          <w:pict w14:anchorId="714913CA">
            <v:rect id="_x0000_i1025" style="width:0;height:1.5pt" o:hralign="center" o:hrstd="t" o:hr="t" fillcolor="#a0a0a0" stroked="f"/>
          </w:pict>
        </w:r>
      </w:p>
    </w:sdtContent>
  </w:sdt>
  <w:p w14:paraId="5171FA3B" w14:textId="2D96C365" w:rsidR="007A1E69" w:rsidRDefault="00083C63">
    <w:pPr>
      <w:pStyle w:val="AltBilgi"/>
      <w:rPr>
        <w:sz w:val="18"/>
        <w:szCs w:val="18"/>
      </w:rPr>
    </w:pPr>
    <w:bookmarkStart w:id="3" w:name="_Hlk231974468"/>
    <w:bookmarkStart w:id="4" w:name="_Hlk231974469"/>
    <w:bookmarkStart w:id="5" w:name="_Hlk231974470"/>
    <w:bookmarkStart w:id="6" w:name="_Hlk231974471"/>
    <w:r>
      <w:t xml:space="preserve">  </w:t>
    </w:r>
    <w:r>
      <w:rPr>
        <w:rFonts w:ascii="Times New Roman" w:hAnsi="Times New Roman" w:cs="Times New Roman"/>
        <w:b/>
        <w:bCs/>
        <w:noProof/>
        <w:sz w:val="18"/>
        <w:szCs w:val="18"/>
        <w:lang w:eastAsia="tr-TR"/>
      </w:rPr>
      <w:drawing>
        <wp:inline distT="0" distB="0" distL="0" distR="0" wp14:anchorId="1B892073" wp14:editId="76AE9D30">
          <wp:extent cx="1499616" cy="207060"/>
          <wp:effectExtent l="0" t="0" r="5715" b="254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45833" cy="213441"/>
                  </a:xfrm>
                  <a:prstGeom prst="rect">
                    <a:avLst/>
                  </a:prstGeom>
                </pic:spPr>
              </pic:pic>
            </a:graphicData>
          </a:graphic>
        </wp:inline>
      </w:drawing>
    </w:r>
    <w:r>
      <w:rPr>
        <w:sz w:val="18"/>
        <w:szCs w:val="18"/>
      </w:rPr>
      <w:t xml:space="preserve">                                                                                                                         </w:t>
    </w:r>
    <w:r>
      <w:rPr>
        <w:i/>
        <w:iCs/>
        <w:sz w:val="18"/>
        <w:szCs w:val="18"/>
      </w:rPr>
      <w:t>BÜKAK.KLV.0</w:t>
    </w:r>
    <w:r w:rsidR="009B59CD">
      <w:rPr>
        <w:i/>
        <w:iCs/>
        <w:sz w:val="18"/>
        <w:szCs w:val="18"/>
      </w:rPr>
      <w:t>7</w:t>
    </w:r>
    <w:r>
      <w:rPr>
        <w:i/>
        <w:iCs/>
        <w:sz w:val="18"/>
        <w:szCs w:val="18"/>
      </w:rPr>
      <w:t>/REV.00</w:t>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EF11" w14:textId="77777777" w:rsidR="003C6CFD" w:rsidRDefault="003C6CFD">
      <w:pPr>
        <w:spacing w:after="0" w:line="240" w:lineRule="auto"/>
      </w:pPr>
      <w:r>
        <w:separator/>
      </w:r>
    </w:p>
  </w:footnote>
  <w:footnote w:type="continuationSeparator" w:id="0">
    <w:p w14:paraId="2CCFA191" w14:textId="77777777" w:rsidR="003C6CFD" w:rsidRDefault="003C6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478017"/>
      <w:docPartObj>
        <w:docPartGallery w:val="Page Numbers (Top of Page)"/>
        <w:docPartUnique/>
      </w:docPartObj>
    </w:sdtPr>
    <w:sdtEndPr/>
    <w:sdtContent>
      <w:p w14:paraId="006D63ED" w14:textId="77777777" w:rsidR="007A1E69" w:rsidRDefault="00083C63">
        <w:pPr>
          <w:pStyle w:val="stBilgi"/>
          <w:jc w:val="right"/>
        </w:pPr>
        <w:r>
          <w:fldChar w:fldCharType="begin"/>
        </w:r>
        <w:r>
          <w:instrText>PAGE   \* MERGEFORMAT</w:instrText>
        </w:r>
        <w:r>
          <w:fldChar w:fldCharType="separate"/>
        </w:r>
        <w:r>
          <w:rPr>
            <w:noProof/>
          </w:rPr>
          <w:t>20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C4"/>
    <w:multiLevelType w:val="multilevel"/>
    <w:tmpl w:val="38CE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E5965"/>
    <w:multiLevelType w:val="multilevel"/>
    <w:tmpl w:val="9DE2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D2E23"/>
    <w:multiLevelType w:val="multilevel"/>
    <w:tmpl w:val="7F48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31292"/>
    <w:multiLevelType w:val="multilevel"/>
    <w:tmpl w:val="3DDA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57216B"/>
    <w:multiLevelType w:val="multilevel"/>
    <w:tmpl w:val="7C12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061F1"/>
    <w:multiLevelType w:val="multilevel"/>
    <w:tmpl w:val="5F98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967CC"/>
    <w:multiLevelType w:val="multilevel"/>
    <w:tmpl w:val="8CDE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DC397D"/>
    <w:multiLevelType w:val="hybridMultilevel"/>
    <w:tmpl w:val="7C88C90A"/>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923333A"/>
    <w:multiLevelType w:val="multilevel"/>
    <w:tmpl w:val="FA3EC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566525"/>
    <w:multiLevelType w:val="multilevel"/>
    <w:tmpl w:val="074E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6F7809"/>
    <w:multiLevelType w:val="multilevel"/>
    <w:tmpl w:val="9C16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0D4183"/>
    <w:multiLevelType w:val="multilevel"/>
    <w:tmpl w:val="09EC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434A9C"/>
    <w:multiLevelType w:val="multilevel"/>
    <w:tmpl w:val="ED08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65454"/>
    <w:multiLevelType w:val="multilevel"/>
    <w:tmpl w:val="B79C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8E414E"/>
    <w:multiLevelType w:val="multilevel"/>
    <w:tmpl w:val="31CE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4F34EC"/>
    <w:multiLevelType w:val="multilevel"/>
    <w:tmpl w:val="0ECA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86EC4"/>
    <w:multiLevelType w:val="multilevel"/>
    <w:tmpl w:val="581E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57A6B"/>
    <w:multiLevelType w:val="multilevel"/>
    <w:tmpl w:val="67F0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753314"/>
    <w:multiLevelType w:val="multilevel"/>
    <w:tmpl w:val="ABA8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411430"/>
    <w:multiLevelType w:val="multilevel"/>
    <w:tmpl w:val="54CA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B47208"/>
    <w:multiLevelType w:val="multilevel"/>
    <w:tmpl w:val="EAB0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566916"/>
    <w:multiLevelType w:val="multilevel"/>
    <w:tmpl w:val="7688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4D5698"/>
    <w:multiLevelType w:val="hybridMultilevel"/>
    <w:tmpl w:val="7F7E898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E9C3364"/>
    <w:multiLevelType w:val="multilevel"/>
    <w:tmpl w:val="88AE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01144"/>
    <w:multiLevelType w:val="multilevel"/>
    <w:tmpl w:val="0BF6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801101"/>
    <w:multiLevelType w:val="multilevel"/>
    <w:tmpl w:val="F74C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685238"/>
    <w:multiLevelType w:val="multilevel"/>
    <w:tmpl w:val="0FA4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65A56"/>
    <w:multiLevelType w:val="hybridMultilevel"/>
    <w:tmpl w:val="D5F6BAD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11171F"/>
    <w:multiLevelType w:val="multilevel"/>
    <w:tmpl w:val="7272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614CD"/>
    <w:multiLevelType w:val="multilevel"/>
    <w:tmpl w:val="464C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754F97"/>
    <w:multiLevelType w:val="multilevel"/>
    <w:tmpl w:val="3702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14"/>
  </w:num>
  <w:num w:numId="4">
    <w:abstractNumId w:val="1"/>
  </w:num>
  <w:num w:numId="5">
    <w:abstractNumId w:val="25"/>
  </w:num>
  <w:num w:numId="6">
    <w:abstractNumId w:val="19"/>
  </w:num>
  <w:num w:numId="7">
    <w:abstractNumId w:val="29"/>
  </w:num>
  <w:num w:numId="8">
    <w:abstractNumId w:val="13"/>
  </w:num>
  <w:num w:numId="9">
    <w:abstractNumId w:val="21"/>
  </w:num>
  <w:num w:numId="10">
    <w:abstractNumId w:val="18"/>
  </w:num>
  <w:num w:numId="11">
    <w:abstractNumId w:val="6"/>
  </w:num>
  <w:num w:numId="12">
    <w:abstractNumId w:val="30"/>
  </w:num>
  <w:num w:numId="13">
    <w:abstractNumId w:val="26"/>
  </w:num>
  <w:num w:numId="14">
    <w:abstractNumId w:val="16"/>
  </w:num>
  <w:num w:numId="15">
    <w:abstractNumId w:val="24"/>
  </w:num>
  <w:num w:numId="16">
    <w:abstractNumId w:val="23"/>
  </w:num>
  <w:num w:numId="17">
    <w:abstractNumId w:val="0"/>
  </w:num>
  <w:num w:numId="18">
    <w:abstractNumId w:val="5"/>
  </w:num>
  <w:num w:numId="19">
    <w:abstractNumId w:val="4"/>
  </w:num>
  <w:num w:numId="20">
    <w:abstractNumId w:val="8"/>
  </w:num>
  <w:num w:numId="21">
    <w:abstractNumId w:val="15"/>
  </w:num>
  <w:num w:numId="22">
    <w:abstractNumId w:val="20"/>
  </w:num>
  <w:num w:numId="23">
    <w:abstractNumId w:val="11"/>
  </w:num>
  <w:num w:numId="24">
    <w:abstractNumId w:val="10"/>
  </w:num>
  <w:num w:numId="25">
    <w:abstractNumId w:val="17"/>
  </w:num>
  <w:num w:numId="26">
    <w:abstractNumId w:val="12"/>
  </w:num>
  <w:num w:numId="27">
    <w:abstractNumId w:val="3"/>
  </w:num>
  <w:num w:numId="28">
    <w:abstractNumId w:val="28"/>
  </w:num>
  <w:num w:numId="29">
    <w:abstractNumId w:val="22"/>
  </w:num>
  <w:num w:numId="30">
    <w:abstractNumId w:val="27"/>
  </w:num>
  <w:num w:numId="31">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SortMethod w:val="0002"/>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E69"/>
    <w:rsid w:val="00077C08"/>
    <w:rsid w:val="00083C63"/>
    <w:rsid w:val="00092DB5"/>
    <w:rsid w:val="001002A1"/>
    <w:rsid w:val="003458A7"/>
    <w:rsid w:val="003C6CFD"/>
    <w:rsid w:val="004E3DCF"/>
    <w:rsid w:val="006D2156"/>
    <w:rsid w:val="00793653"/>
    <w:rsid w:val="007A1E69"/>
    <w:rsid w:val="007A4875"/>
    <w:rsid w:val="007D22BD"/>
    <w:rsid w:val="009B59CD"/>
    <w:rsid w:val="009E6D79"/>
    <w:rsid w:val="00B42155"/>
    <w:rsid w:val="00BA3569"/>
    <w:rsid w:val="00D313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A4DF393"/>
  <w15:chartTrackingRefBased/>
  <w15:docId w15:val="{0B53EE3A-37A9-42B3-B850-681F3279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ListeParagraf">
    <w:name w:val="List Paragraph"/>
    <w:basedOn w:val="Normal"/>
    <w:uiPriority w:val="34"/>
    <w:qFormat/>
    <w:rsid w:val="00B421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20777">
      <w:bodyDiv w:val="1"/>
      <w:marLeft w:val="0"/>
      <w:marRight w:val="0"/>
      <w:marTop w:val="0"/>
      <w:marBottom w:val="0"/>
      <w:divBdr>
        <w:top w:val="none" w:sz="0" w:space="0" w:color="auto"/>
        <w:left w:val="none" w:sz="0" w:space="0" w:color="auto"/>
        <w:bottom w:val="none" w:sz="0" w:space="0" w:color="auto"/>
        <w:right w:val="none" w:sz="0" w:space="0" w:color="auto"/>
      </w:divBdr>
    </w:div>
    <w:div w:id="51930891">
      <w:bodyDiv w:val="1"/>
      <w:marLeft w:val="0"/>
      <w:marRight w:val="0"/>
      <w:marTop w:val="0"/>
      <w:marBottom w:val="0"/>
      <w:divBdr>
        <w:top w:val="none" w:sz="0" w:space="0" w:color="auto"/>
        <w:left w:val="none" w:sz="0" w:space="0" w:color="auto"/>
        <w:bottom w:val="none" w:sz="0" w:space="0" w:color="auto"/>
        <w:right w:val="none" w:sz="0" w:space="0" w:color="auto"/>
      </w:divBdr>
    </w:div>
    <w:div w:id="107086019">
      <w:bodyDiv w:val="1"/>
      <w:marLeft w:val="0"/>
      <w:marRight w:val="0"/>
      <w:marTop w:val="0"/>
      <w:marBottom w:val="0"/>
      <w:divBdr>
        <w:top w:val="none" w:sz="0" w:space="0" w:color="auto"/>
        <w:left w:val="none" w:sz="0" w:space="0" w:color="auto"/>
        <w:bottom w:val="none" w:sz="0" w:space="0" w:color="auto"/>
        <w:right w:val="none" w:sz="0" w:space="0" w:color="auto"/>
      </w:divBdr>
    </w:div>
    <w:div w:id="148058506">
      <w:bodyDiv w:val="1"/>
      <w:marLeft w:val="0"/>
      <w:marRight w:val="0"/>
      <w:marTop w:val="0"/>
      <w:marBottom w:val="0"/>
      <w:divBdr>
        <w:top w:val="none" w:sz="0" w:space="0" w:color="auto"/>
        <w:left w:val="none" w:sz="0" w:space="0" w:color="auto"/>
        <w:bottom w:val="none" w:sz="0" w:space="0" w:color="auto"/>
        <w:right w:val="none" w:sz="0" w:space="0" w:color="auto"/>
      </w:divBdr>
    </w:div>
    <w:div w:id="203059354">
      <w:bodyDiv w:val="1"/>
      <w:marLeft w:val="0"/>
      <w:marRight w:val="0"/>
      <w:marTop w:val="0"/>
      <w:marBottom w:val="0"/>
      <w:divBdr>
        <w:top w:val="none" w:sz="0" w:space="0" w:color="auto"/>
        <w:left w:val="none" w:sz="0" w:space="0" w:color="auto"/>
        <w:bottom w:val="none" w:sz="0" w:space="0" w:color="auto"/>
        <w:right w:val="none" w:sz="0" w:space="0" w:color="auto"/>
      </w:divBdr>
    </w:div>
    <w:div w:id="234243517">
      <w:bodyDiv w:val="1"/>
      <w:marLeft w:val="0"/>
      <w:marRight w:val="0"/>
      <w:marTop w:val="0"/>
      <w:marBottom w:val="0"/>
      <w:divBdr>
        <w:top w:val="none" w:sz="0" w:space="0" w:color="auto"/>
        <w:left w:val="none" w:sz="0" w:space="0" w:color="auto"/>
        <w:bottom w:val="none" w:sz="0" w:space="0" w:color="auto"/>
        <w:right w:val="none" w:sz="0" w:space="0" w:color="auto"/>
      </w:divBdr>
    </w:div>
    <w:div w:id="274210934">
      <w:bodyDiv w:val="1"/>
      <w:marLeft w:val="0"/>
      <w:marRight w:val="0"/>
      <w:marTop w:val="0"/>
      <w:marBottom w:val="0"/>
      <w:divBdr>
        <w:top w:val="none" w:sz="0" w:space="0" w:color="auto"/>
        <w:left w:val="none" w:sz="0" w:space="0" w:color="auto"/>
        <w:bottom w:val="none" w:sz="0" w:space="0" w:color="auto"/>
        <w:right w:val="none" w:sz="0" w:space="0" w:color="auto"/>
      </w:divBdr>
    </w:div>
    <w:div w:id="285284048">
      <w:bodyDiv w:val="1"/>
      <w:marLeft w:val="0"/>
      <w:marRight w:val="0"/>
      <w:marTop w:val="0"/>
      <w:marBottom w:val="0"/>
      <w:divBdr>
        <w:top w:val="none" w:sz="0" w:space="0" w:color="auto"/>
        <w:left w:val="none" w:sz="0" w:space="0" w:color="auto"/>
        <w:bottom w:val="none" w:sz="0" w:space="0" w:color="auto"/>
        <w:right w:val="none" w:sz="0" w:space="0" w:color="auto"/>
      </w:divBdr>
    </w:div>
    <w:div w:id="345057918">
      <w:bodyDiv w:val="1"/>
      <w:marLeft w:val="0"/>
      <w:marRight w:val="0"/>
      <w:marTop w:val="0"/>
      <w:marBottom w:val="0"/>
      <w:divBdr>
        <w:top w:val="none" w:sz="0" w:space="0" w:color="auto"/>
        <w:left w:val="none" w:sz="0" w:space="0" w:color="auto"/>
        <w:bottom w:val="none" w:sz="0" w:space="0" w:color="auto"/>
        <w:right w:val="none" w:sz="0" w:space="0" w:color="auto"/>
      </w:divBdr>
    </w:div>
    <w:div w:id="383451371">
      <w:bodyDiv w:val="1"/>
      <w:marLeft w:val="0"/>
      <w:marRight w:val="0"/>
      <w:marTop w:val="0"/>
      <w:marBottom w:val="0"/>
      <w:divBdr>
        <w:top w:val="none" w:sz="0" w:space="0" w:color="auto"/>
        <w:left w:val="none" w:sz="0" w:space="0" w:color="auto"/>
        <w:bottom w:val="none" w:sz="0" w:space="0" w:color="auto"/>
        <w:right w:val="none" w:sz="0" w:space="0" w:color="auto"/>
      </w:divBdr>
    </w:div>
    <w:div w:id="392389015">
      <w:bodyDiv w:val="1"/>
      <w:marLeft w:val="0"/>
      <w:marRight w:val="0"/>
      <w:marTop w:val="0"/>
      <w:marBottom w:val="0"/>
      <w:divBdr>
        <w:top w:val="none" w:sz="0" w:space="0" w:color="auto"/>
        <w:left w:val="none" w:sz="0" w:space="0" w:color="auto"/>
        <w:bottom w:val="none" w:sz="0" w:space="0" w:color="auto"/>
        <w:right w:val="none" w:sz="0" w:space="0" w:color="auto"/>
      </w:divBdr>
    </w:div>
    <w:div w:id="508450683">
      <w:bodyDiv w:val="1"/>
      <w:marLeft w:val="0"/>
      <w:marRight w:val="0"/>
      <w:marTop w:val="0"/>
      <w:marBottom w:val="0"/>
      <w:divBdr>
        <w:top w:val="none" w:sz="0" w:space="0" w:color="auto"/>
        <w:left w:val="none" w:sz="0" w:space="0" w:color="auto"/>
        <w:bottom w:val="none" w:sz="0" w:space="0" w:color="auto"/>
        <w:right w:val="none" w:sz="0" w:space="0" w:color="auto"/>
      </w:divBdr>
    </w:div>
    <w:div w:id="519054971">
      <w:bodyDiv w:val="1"/>
      <w:marLeft w:val="0"/>
      <w:marRight w:val="0"/>
      <w:marTop w:val="0"/>
      <w:marBottom w:val="0"/>
      <w:divBdr>
        <w:top w:val="none" w:sz="0" w:space="0" w:color="auto"/>
        <w:left w:val="none" w:sz="0" w:space="0" w:color="auto"/>
        <w:bottom w:val="none" w:sz="0" w:space="0" w:color="auto"/>
        <w:right w:val="none" w:sz="0" w:space="0" w:color="auto"/>
      </w:divBdr>
    </w:div>
    <w:div w:id="526482353">
      <w:bodyDiv w:val="1"/>
      <w:marLeft w:val="0"/>
      <w:marRight w:val="0"/>
      <w:marTop w:val="0"/>
      <w:marBottom w:val="0"/>
      <w:divBdr>
        <w:top w:val="none" w:sz="0" w:space="0" w:color="auto"/>
        <w:left w:val="none" w:sz="0" w:space="0" w:color="auto"/>
        <w:bottom w:val="none" w:sz="0" w:space="0" w:color="auto"/>
        <w:right w:val="none" w:sz="0" w:space="0" w:color="auto"/>
      </w:divBdr>
    </w:div>
    <w:div w:id="528686967">
      <w:bodyDiv w:val="1"/>
      <w:marLeft w:val="0"/>
      <w:marRight w:val="0"/>
      <w:marTop w:val="0"/>
      <w:marBottom w:val="0"/>
      <w:divBdr>
        <w:top w:val="none" w:sz="0" w:space="0" w:color="auto"/>
        <w:left w:val="none" w:sz="0" w:space="0" w:color="auto"/>
        <w:bottom w:val="none" w:sz="0" w:space="0" w:color="auto"/>
        <w:right w:val="none" w:sz="0" w:space="0" w:color="auto"/>
      </w:divBdr>
    </w:div>
    <w:div w:id="543909412">
      <w:bodyDiv w:val="1"/>
      <w:marLeft w:val="0"/>
      <w:marRight w:val="0"/>
      <w:marTop w:val="0"/>
      <w:marBottom w:val="0"/>
      <w:divBdr>
        <w:top w:val="none" w:sz="0" w:space="0" w:color="auto"/>
        <w:left w:val="none" w:sz="0" w:space="0" w:color="auto"/>
        <w:bottom w:val="none" w:sz="0" w:space="0" w:color="auto"/>
        <w:right w:val="none" w:sz="0" w:space="0" w:color="auto"/>
      </w:divBdr>
    </w:div>
    <w:div w:id="551305726">
      <w:bodyDiv w:val="1"/>
      <w:marLeft w:val="0"/>
      <w:marRight w:val="0"/>
      <w:marTop w:val="0"/>
      <w:marBottom w:val="0"/>
      <w:divBdr>
        <w:top w:val="none" w:sz="0" w:space="0" w:color="auto"/>
        <w:left w:val="none" w:sz="0" w:space="0" w:color="auto"/>
        <w:bottom w:val="none" w:sz="0" w:space="0" w:color="auto"/>
        <w:right w:val="none" w:sz="0" w:space="0" w:color="auto"/>
      </w:divBdr>
    </w:div>
    <w:div w:id="562066856">
      <w:bodyDiv w:val="1"/>
      <w:marLeft w:val="0"/>
      <w:marRight w:val="0"/>
      <w:marTop w:val="0"/>
      <w:marBottom w:val="0"/>
      <w:divBdr>
        <w:top w:val="none" w:sz="0" w:space="0" w:color="auto"/>
        <w:left w:val="none" w:sz="0" w:space="0" w:color="auto"/>
        <w:bottom w:val="none" w:sz="0" w:space="0" w:color="auto"/>
        <w:right w:val="none" w:sz="0" w:space="0" w:color="auto"/>
      </w:divBdr>
    </w:div>
    <w:div w:id="597250779">
      <w:bodyDiv w:val="1"/>
      <w:marLeft w:val="0"/>
      <w:marRight w:val="0"/>
      <w:marTop w:val="0"/>
      <w:marBottom w:val="0"/>
      <w:divBdr>
        <w:top w:val="none" w:sz="0" w:space="0" w:color="auto"/>
        <w:left w:val="none" w:sz="0" w:space="0" w:color="auto"/>
        <w:bottom w:val="none" w:sz="0" w:space="0" w:color="auto"/>
        <w:right w:val="none" w:sz="0" w:space="0" w:color="auto"/>
      </w:divBdr>
    </w:div>
    <w:div w:id="612632483">
      <w:bodyDiv w:val="1"/>
      <w:marLeft w:val="0"/>
      <w:marRight w:val="0"/>
      <w:marTop w:val="0"/>
      <w:marBottom w:val="0"/>
      <w:divBdr>
        <w:top w:val="none" w:sz="0" w:space="0" w:color="auto"/>
        <w:left w:val="none" w:sz="0" w:space="0" w:color="auto"/>
        <w:bottom w:val="none" w:sz="0" w:space="0" w:color="auto"/>
        <w:right w:val="none" w:sz="0" w:space="0" w:color="auto"/>
      </w:divBdr>
    </w:div>
    <w:div w:id="614825763">
      <w:bodyDiv w:val="1"/>
      <w:marLeft w:val="0"/>
      <w:marRight w:val="0"/>
      <w:marTop w:val="0"/>
      <w:marBottom w:val="0"/>
      <w:divBdr>
        <w:top w:val="none" w:sz="0" w:space="0" w:color="auto"/>
        <w:left w:val="none" w:sz="0" w:space="0" w:color="auto"/>
        <w:bottom w:val="none" w:sz="0" w:space="0" w:color="auto"/>
        <w:right w:val="none" w:sz="0" w:space="0" w:color="auto"/>
      </w:divBdr>
    </w:div>
    <w:div w:id="669717197">
      <w:bodyDiv w:val="1"/>
      <w:marLeft w:val="0"/>
      <w:marRight w:val="0"/>
      <w:marTop w:val="0"/>
      <w:marBottom w:val="0"/>
      <w:divBdr>
        <w:top w:val="none" w:sz="0" w:space="0" w:color="auto"/>
        <w:left w:val="none" w:sz="0" w:space="0" w:color="auto"/>
        <w:bottom w:val="none" w:sz="0" w:space="0" w:color="auto"/>
        <w:right w:val="none" w:sz="0" w:space="0" w:color="auto"/>
      </w:divBdr>
    </w:div>
    <w:div w:id="764111306">
      <w:bodyDiv w:val="1"/>
      <w:marLeft w:val="0"/>
      <w:marRight w:val="0"/>
      <w:marTop w:val="0"/>
      <w:marBottom w:val="0"/>
      <w:divBdr>
        <w:top w:val="none" w:sz="0" w:space="0" w:color="auto"/>
        <w:left w:val="none" w:sz="0" w:space="0" w:color="auto"/>
        <w:bottom w:val="none" w:sz="0" w:space="0" w:color="auto"/>
        <w:right w:val="none" w:sz="0" w:space="0" w:color="auto"/>
      </w:divBdr>
    </w:div>
    <w:div w:id="779227561">
      <w:bodyDiv w:val="1"/>
      <w:marLeft w:val="0"/>
      <w:marRight w:val="0"/>
      <w:marTop w:val="0"/>
      <w:marBottom w:val="0"/>
      <w:divBdr>
        <w:top w:val="none" w:sz="0" w:space="0" w:color="auto"/>
        <w:left w:val="none" w:sz="0" w:space="0" w:color="auto"/>
        <w:bottom w:val="none" w:sz="0" w:space="0" w:color="auto"/>
        <w:right w:val="none" w:sz="0" w:space="0" w:color="auto"/>
      </w:divBdr>
    </w:div>
    <w:div w:id="793133372">
      <w:bodyDiv w:val="1"/>
      <w:marLeft w:val="0"/>
      <w:marRight w:val="0"/>
      <w:marTop w:val="0"/>
      <w:marBottom w:val="0"/>
      <w:divBdr>
        <w:top w:val="none" w:sz="0" w:space="0" w:color="auto"/>
        <w:left w:val="none" w:sz="0" w:space="0" w:color="auto"/>
        <w:bottom w:val="none" w:sz="0" w:space="0" w:color="auto"/>
        <w:right w:val="none" w:sz="0" w:space="0" w:color="auto"/>
      </w:divBdr>
    </w:div>
    <w:div w:id="830024220">
      <w:bodyDiv w:val="1"/>
      <w:marLeft w:val="0"/>
      <w:marRight w:val="0"/>
      <w:marTop w:val="0"/>
      <w:marBottom w:val="0"/>
      <w:divBdr>
        <w:top w:val="none" w:sz="0" w:space="0" w:color="auto"/>
        <w:left w:val="none" w:sz="0" w:space="0" w:color="auto"/>
        <w:bottom w:val="none" w:sz="0" w:space="0" w:color="auto"/>
        <w:right w:val="none" w:sz="0" w:space="0" w:color="auto"/>
      </w:divBdr>
    </w:div>
    <w:div w:id="837355315">
      <w:bodyDiv w:val="1"/>
      <w:marLeft w:val="0"/>
      <w:marRight w:val="0"/>
      <w:marTop w:val="0"/>
      <w:marBottom w:val="0"/>
      <w:divBdr>
        <w:top w:val="none" w:sz="0" w:space="0" w:color="auto"/>
        <w:left w:val="none" w:sz="0" w:space="0" w:color="auto"/>
        <w:bottom w:val="none" w:sz="0" w:space="0" w:color="auto"/>
        <w:right w:val="none" w:sz="0" w:space="0" w:color="auto"/>
      </w:divBdr>
    </w:div>
    <w:div w:id="853230465">
      <w:bodyDiv w:val="1"/>
      <w:marLeft w:val="0"/>
      <w:marRight w:val="0"/>
      <w:marTop w:val="0"/>
      <w:marBottom w:val="0"/>
      <w:divBdr>
        <w:top w:val="none" w:sz="0" w:space="0" w:color="auto"/>
        <w:left w:val="none" w:sz="0" w:space="0" w:color="auto"/>
        <w:bottom w:val="none" w:sz="0" w:space="0" w:color="auto"/>
        <w:right w:val="none" w:sz="0" w:space="0" w:color="auto"/>
      </w:divBdr>
    </w:div>
    <w:div w:id="864944638">
      <w:bodyDiv w:val="1"/>
      <w:marLeft w:val="0"/>
      <w:marRight w:val="0"/>
      <w:marTop w:val="0"/>
      <w:marBottom w:val="0"/>
      <w:divBdr>
        <w:top w:val="none" w:sz="0" w:space="0" w:color="auto"/>
        <w:left w:val="none" w:sz="0" w:space="0" w:color="auto"/>
        <w:bottom w:val="none" w:sz="0" w:space="0" w:color="auto"/>
        <w:right w:val="none" w:sz="0" w:space="0" w:color="auto"/>
      </w:divBdr>
    </w:div>
    <w:div w:id="929043384">
      <w:bodyDiv w:val="1"/>
      <w:marLeft w:val="0"/>
      <w:marRight w:val="0"/>
      <w:marTop w:val="0"/>
      <w:marBottom w:val="0"/>
      <w:divBdr>
        <w:top w:val="none" w:sz="0" w:space="0" w:color="auto"/>
        <w:left w:val="none" w:sz="0" w:space="0" w:color="auto"/>
        <w:bottom w:val="none" w:sz="0" w:space="0" w:color="auto"/>
        <w:right w:val="none" w:sz="0" w:space="0" w:color="auto"/>
      </w:divBdr>
    </w:div>
    <w:div w:id="953054162">
      <w:bodyDiv w:val="1"/>
      <w:marLeft w:val="0"/>
      <w:marRight w:val="0"/>
      <w:marTop w:val="0"/>
      <w:marBottom w:val="0"/>
      <w:divBdr>
        <w:top w:val="none" w:sz="0" w:space="0" w:color="auto"/>
        <w:left w:val="none" w:sz="0" w:space="0" w:color="auto"/>
        <w:bottom w:val="none" w:sz="0" w:space="0" w:color="auto"/>
        <w:right w:val="none" w:sz="0" w:space="0" w:color="auto"/>
      </w:divBdr>
    </w:div>
    <w:div w:id="1006710002">
      <w:bodyDiv w:val="1"/>
      <w:marLeft w:val="0"/>
      <w:marRight w:val="0"/>
      <w:marTop w:val="0"/>
      <w:marBottom w:val="0"/>
      <w:divBdr>
        <w:top w:val="none" w:sz="0" w:space="0" w:color="auto"/>
        <w:left w:val="none" w:sz="0" w:space="0" w:color="auto"/>
        <w:bottom w:val="none" w:sz="0" w:space="0" w:color="auto"/>
        <w:right w:val="none" w:sz="0" w:space="0" w:color="auto"/>
      </w:divBdr>
    </w:div>
    <w:div w:id="1041246565">
      <w:bodyDiv w:val="1"/>
      <w:marLeft w:val="0"/>
      <w:marRight w:val="0"/>
      <w:marTop w:val="0"/>
      <w:marBottom w:val="0"/>
      <w:divBdr>
        <w:top w:val="none" w:sz="0" w:space="0" w:color="auto"/>
        <w:left w:val="none" w:sz="0" w:space="0" w:color="auto"/>
        <w:bottom w:val="none" w:sz="0" w:space="0" w:color="auto"/>
        <w:right w:val="none" w:sz="0" w:space="0" w:color="auto"/>
      </w:divBdr>
    </w:div>
    <w:div w:id="1057171894">
      <w:bodyDiv w:val="1"/>
      <w:marLeft w:val="0"/>
      <w:marRight w:val="0"/>
      <w:marTop w:val="0"/>
      <w:marBottom w:val="0"/>
      <w:divBdr>
        <w:top w:val="none" w:sz="0" w:space="0" w:color="auto"/>
        <w:left w:val="none" w:sz="0" w:space="0" w:color="auto"/>
        <w:bottom w:val="none" w:sz="0" w:space="0" w:color="auto"/>
        <w:right w:val="none" w:sz="0" w:space="0" w:color="auto"/>
      </w:divBdr>
    </w:div>
    <w:div w:id="1108626660">
      <w:bodyDiv w:val="1"/>
      <w:marLeft w:val="0"/>
      <w:marRight w:val="0"/>
      <w:marTop w:val="0"/>
      <w:marBottom w:val="0"/>
      <w:divBdr>
        <w:top w:val="none" w:sz="0" w:space="0" w:color="auto"/>
        <w:left w:val="none" w:sz="0" w:space="0" w:color="auto"/>
        <w:bottom w:val="none" w:sz="0" w:space="0" w:color="auto"/>
        <w:right w:val="none" w:sz="0" w:space="0" w:color="auto"/>
      </w:divBdr>
    </w:div>
    <w:div w:id="1130126808">
      <w:bodyDiv w:val="1"/>
      <w:marLeft w:val="0"/>
      <w:marRight w:val="0"/>
      <w:marTop w:val="0"/>
      <w:marBottom w:val="0"/>
      <w:divBdr>
        <w:top w:val="none" w:sz="0" w:space="0" w:color="auto"/>
        <w:left w:val="none" w:sz="0" w:space="0" w:color="auto"/>
        <w:bottom w:val="none" w:sz="0" w:space="0" w:color="auto"/>
        <w:right w:val="none" w:sz="0" w:space="0" w:color="auto"/>
      </w:divBdr>
    </w:div>
    <w:div w:id="1244871802">
      <w:bodyDiv w:val="1"/>
      <w:marLeft w:val="0"/>
      <w:marRight w:val="0"/>
      <w:marTop w:val="0"/>
      <w:marBottom w:val="0"/>
      <w:divBdr>
        <w:top w:val="none" w:sz="0" w:space="0" w:color="auto"/>
        <w:left w:val="none" w:sz="0" w:space="0" w:color="auto"/>
        <w:bottom w:val="none" w:sz="0" w:space="0" w:color="auto"/>
        <w:right w:val="none" w:sz="0" w:space="0" w:color="auto"/>
      </w:divBdr>
    </w:div>
    <w:div w:id="1340352552">
      <w:bodyDiv w:val="1"/>
      <w:marLeft w:val="0"/>
      <w:marRight w:val="0"/>
      <w:marTop w:val="0"/>
      <w:marBottom w:val="0"/>
      <w:divBdr>
        <w:top w:val="none" w:sz="0" w:space="0" w:color="auto"/>
        <w:left w:val="none" w:sz="0" w:space="0" w:color="auto"/>
        <w:bottom w:val="none" w:sz="0" w:space="0" w:color="auto"/>
        <w:right w:val="none" w:sz="0" w:space="0" w:color="auto"/>
      </w:divBdr>
    </w:div>
    <w:div w:id="1354110254">
      <w:bodyDiv w:val="1"/>
      <w:marLeft w:val="0"/>
      <w:marRight w:val="0"/>
      <w:marTop w:val="0"/>
      <w:marBottom w:val="0"/>
      <w:divBdr>
        <w:top w:val="none" w:sz="0" w:space="0" w:color="auto"/>
        <w:left w:val="none" w:sz="0" w:space="0" w:color="auto"/>
        <w:bottom w:val="none" w:sz="0" w:space="0" w:color="auto"/>
        <w:right w:val="none" w:sz="0" w:space="0" w:color="auto"/>
      </w:divBdr>
    </w:div>
    <w:div w:id="1370030720">
      <w:bodyDiv w:val="1"/>
      <w:marLeft w:val="0"/>
      <w:marRight w:val="0"/>
      <w:marTop w:val="0"/>
      <w:marBottom w:val="0"/>
      <w:divBdr>
        <w:top w:val="none" w:sz="0" w:space="0" w:color="auto"/>
        <w:left w:val="none" w:sz="0" w:space="0" w:color="auto"/>
        <w:bottom w:val="none" w:sz="0" w:space="0" w:color="auto"/>
        <w:right w:val="none" w:sz="0" w:space="0" w:color="auto"/>
      </w:divBdr>
    </w:div>
    <w:div w:id="1440029654">
      <w:bodyDiv w:val="1"/>
      <w:marLeft w:val="0"/>
      <w:marRight w:val="0"/>
      <w:marTop w:val="0"/>
      <w:marBottom w:val="0"/>
      <w:divBdr>
        <w:top w:val="none" w:sz="0" w:space="0" w:color="auto"/>
        <w:left w:val="none" w:sz="0" w:space="0" w:color="auto"/>
        <w:bottom w:val="none" w:sz="0" w:space="0" w:color="auto"/>
        <w:right w:val="none" w:sz="0" w:space="0" w:color="auto"/>
      </w:divBdr>
    </w:div>
    <w:div w:id="1486584713">
      <w:bodyDiv w:val="1"/>
      <w:marLeft w:val="0"/>
      <w:marRight w:val="0"/>
      <w:marTop w:val="0"/>
      <w:marBottom w:val="0"/>
      <w:divBdr>
        <w:top w:val="none" w:sz="0" w:space="0" w:color="auto"/>
        <w:left w:val="none" w:sz="0" w:space="0" w:color="auto"/>
        <w:bottom w:val="none" w:sz="0" w:space="0" w:color="auto"/>
        <w:right w:val="none" w:sz="0" w:space="0" w:color="auto"/>
      </w:divBdr>
    </w:div>
    <w:div w:id="1544244652">
      <w:bodyDiv w:val="1"/>
      <w:marLeft w:val="0"/>
      <w:marRight w:val="0"/>
      <w:marTop w:val="0"/>
      <w:marBottom w:val="0"/>
      <w:divBdr>
        <w:top w:val="none" w:sz="0" w:space="0" w:color="auto"/>
        <w:left w:val="none" w:sz="0" w:space="0" w:color="auto"/>
        <w:bottom w:val="none" w:sz="0" w:space="0" w:color="auto"/>
        <w:right w:val="none" w:sz="0" w:space="0" w:color="auto"/>
      </w:divBdr>
    </w:div>
    <w:div w:id="1555194439">
      <w:bodyDiv w:val="1"/>
      <w:marLeft w:val="0"/>
      <w:marRight w:val="0"/>
      <w:marTop w:val="0"/>
      <w:marBottom w:val="0"/>
      <w:divBdr>
        <w:top w:val="none" w:sz="0" w:space="0" w:color="auto"/>
        <w:left w:val="none" w:sz="0" w:space="0" w:color="auto"/>
        <w:bottom w:val="none" w:sz="0" w:space="0" w:color="auto"/>
        <w:right w:val="none" w:sz="0" w:space="0" w:color="auto"/>
      </w:divBdr>
    </w:div>
    <w:div w:id="1615164436">
      <w:bodyDiv w:val="1"/>
      <w:marLeft w:val="0"/>
      <w:marRight w:val="0"/>
      <w:marTop w:val="0"/>
      <w:marBottom w:val="0"/>
      <w:divBdr>
        <w:top w:val="none" w:sz="0" w:space="0" w:color="auto"/>
        <w:left w:val="none" w:sz="0" w:space="0" w:color="auto"/>
        <w:bottom w:val="none" w:sz="0" w:space="0" w:color="auto"/>
        <w:right w:val="none" w:sz="0" w:space="0" w:color="auto"/>
      </w:divBdr>
    </w:div>
    <w:div w:id="1756587945">
      <w:bodyDiv w:val="1"/>
      <w:marLeft w:val="0"/>
      <w:marRight w:val="0"/>
      <w:marTop w:val="0"/>
      <w:marBottom w:val="0"/>
      <w:divBdr>
        <w:top w:val="none" w:sz="0" w:space="0" w:color="auto"/>
        <w:left w:val="none" w:sz="0" w:space="0" w:color="auto"/>
        <w:bottom w:val="none" w:sz="0" w:space="0" w:color="auto"/>
        <w:right w:val="none" w:sz="0" w:space="0" w:color="auto"/>
      </w:divBdr>
    </w:div>
    <w:div w:id="1763066155">
      <w:bodyDiv w:val="1"/>
      <w:marLeft w:val="0"/>
      <w:marRight w:val="0"/>
      <w:marTop w:val="0"/>
      <w:marBottom w:val="0"/>
      <w:divBdr>
        <w:top w:val="none" w:sz="0" w:space="0" w:color="auto"/>
        <w:left w:val="none" w:sz="0" w:space="0" w:color="auto"/>
        <w:bottom w:val="none" w:sz="0" w:space="0" w:color="auto"/>
        <w:right w:val="none" w:sz="0" w:space="0" w:color="auto"/>
      </w:divBdr>
    </w:div>
    <w:div w:id="1850440650">
      <w:bodyDiv w:val="1"/>
      <w:marLeft w:val="0"/>
      <w:marRight w:val="0"/>
      <w:marTop w:val="0"/>
      <w:marBottom w:val="0"/>
      <w:divBdr>
        <w:top w:val="none" w:sz="0" w:space="0" w:color="auto"/>
        <w:left w:val="none" w:sz="0" w:space="0" w:color="auto"/>
        <w:bottom w:val="none" w:sz="0" w:space="0" w:color="auto"/>
        <w:right w:val="none" w:sz="0" w:space="0" w:color="auto"/>
      </w:divBdr>
    </w:div>
    <w:div w:id="1883129145">
      <w:bodyDiv w:val="1"/>
      <w:marLeft w:val="0"/>
      <w:marRight w:val="0"/>
      <w:marTop w:val="0"/>
      <w:marBottom w:val="0"/>
      <w:divBdr>
        <w:top w:val="none" w:sz="0" w:space="0" w:color="auto"/>
        <w:left w:val="none" w:sz="0" w:space="0" w:color="auto"/>
        <w:bottom w:val="none" w:sz="0" w:space="0" w:color="auto"/>
        <w:right w:val="none" w:sz="0" w:space="0" w:color="auto"/>
      </w:divBdr>
    </w:div>
    <w:div w:id="1927837543">
      <w:bodyDiv w:val="1"/>
      <w:marLeft w:val="0"/>
      <w:marRight w:val="0"/>
      <w:marTop w:val="0"/>
      <w:marBottom w:val="0"/>
      <w:divBdr>
        <w:top w:val="none" w:sz="0" w:space="0" w:color="auto"/>
        <w:left w:val="none" w:sz="0" w:space="0" w:color="auto"/>
        <w:bottom w:val="none" w:sz="0" w:space="0" w:color="auto"/>
        <w:right w:val="none" w:sz="0" w:space="0" w:color="auto"/>
      </w:divBdr>
    </w:div>
    <w:div w:id="1960909415">
      <w:bodyDiv w:val="1"/>
      <w:marLeft w:val="0"/>
      <w:marRight w:val="0"/>
      <w:marTop w:val="0"/>
      <w:marBottom w:val="0"/>
      <w:divBdr>
        <w:top w:val="none" w:sz="0" w:space="0" w:color="auto"/>
        <w:left w:val="none" w:sz="0" w:space="0" w:color="auto"/>
        <w:bottom w:val="none" w:sz="0" w:space="0" w:color="auto"/>
        <w:right w:val="none" w:sz="0" w:space="0" w:color="auto"/>
      </w:divBdr>
    </w:div>
    <w:div w:id="1973249889">
      <w:bodyDiv w:val="1"/>
      <w:marLeft w:val="0"/>
      <w:marRight w:val="0"/>
      <w:marTop w:val="0"/>
      <w:marBottom w:val="0"/>
      <w:divBdr>
        <w:top w:val="none" w:sz="0" w:space="0" w:color="auto"/>
        <w:left w:val="none" w:sz="0" w:space="0" w:color="auto"/>
        <w:bottom w:val="none" w:sz="0" w:space="0" w:color="auto"/>
        <w:right w:val="none" w:sz="0" w:space="0" w:color="auto"/>
      </w:divBdr>
    </w:div>
    <w:div w:id="2019111905">
      <w:bodyDiv w:val="1"/>
      <w:marLeft w:val="0"/>
      <w:marRight w:val="0"/>
      <w:marTop w:val="0"/>
      <w:marBottom w:val="0"/>
      <w:divBdr>
        <w:top w:val="none" w:sz="0" w:space="0" w:color="auto"/>
        <w:left w:val="none" w:sz="0" w:space="0" w:color="auto"/>
        <w:bottom w:val="none" w:sz="0" w:space="0" w:color="auto"/>
        <w:right w:val="none" w:sz="0" w:space="0" w:color="auto"/>
      </w:divBdr>
    </w:div>
    <w:div w:id="2033988528">
      <w:bodyDiv w:val="1"/>
      <w:marLeft w:val="0"/>
      <w:marRight w:val="0"/>
      <w:marTop w:val="0"/>
      <w:marBottom w:val="0"/>
      <w:divBdr>
        <w:top w:val="none" w:sz="0" w:space="0" w:color="auto"/>
        <w:left w:val="none" w:sz="0" w:space="0" w:color="auto"/>
        <w:bottom w:val="none" w:sz="0" w:space="0" w:color="auto"/>
        <w:right w:val="none" w:sz="0" w:space="0" w:color="auto"/>
      </w:divBdr>
    </w:div>
    <w:div w:id="2083719431">
      <w:bodyDiv w:val="1"/>
      <w:marLeft w:val="0"/>
      <w:marRight w:val="0"/>
      <w:marTop w:val="0"/>
      <w:marBottom w:val="0"/>
      <w:divBdr>
        <w:top w:val="none" w:sz="0" w:space="0" w:color="auto"/>
        <w:left w:val="none" w:sz="0" w:space="0" w:color="auto"/>
        <w:bottom w:val="none" w:sz="0" w:space="0" w:color="auto"/>
        <w:right w:val="none" w:sz="0" w:space="0" w:color="auto"/>
      </w:divBdr>
    </w:div>
    <w:div w:id="210803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37012-8815-48DF-9EB0-17D9CA04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1990</Words>
  <Characters>11345</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12</cp:revision>
  <cp:lastPrinted>2026-06-10T09:23:00Z</cp:lastPrinted>
  <dcterms:created xsi:type="dcterms:W3CDTF">2026-10-13T07:30:00Z</dcterms:created>
  <dcterms:modified xsi:type="dcterms:W3CDTF">2026-10-13T08:09:00Z</dcterms:modified>
</cp:coreProperties>
</file>