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ListeParagraf"/>
        <w:numPr>
          <w:ilvl w:val="0"/>
          <w:numId w:val="6"/>
        </w:numPr>
        <w:rPr>
          <w:rStyle w:val="Gl"/>
          <w:rFonts w:ascii="Times New Roman" w:hAnsi="Times New Roman"/>
          <w:sz w:val="24"/>
        </w:rPr>
      </w:pPr>
      <w:r>
        <w:rPr>
          <w:rStyle w:val="Gl"/>
          <w:rFonts w:ascii="Times New Roman" w:hAnsi="Times New Roman"/>
          <w:sz w:val="24"/>
        </w:rPr>
        <w:t>AMAÇ</w:t>
      </w:r>
    </w:p>
    <w:p>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Bu </w:t>
      </w:r>
      <w:proofErr w:type="gramStart"/>
      <w:r>
        <w:rPr>
          <w:rFonts w:ascii="Times New Roman" w:eastAsia="Times New Roman" w:hAnsi="Times New Roman"/>
          <w:color w:val="000000"/>
          <w:sz w:val="24"/>
          <w:szCs w:val="24"/>
        </w:rPr>
        <w:t>prosedürün</w:t>
      </w:r>
      <w:proofErr w:type="gramEnd"/>
      <w:r>
        <w:rPr>
          <w:rFonts w:ascii="Times New Roman" w:eastAsia="Times New Roman" w:hAnsi="Times New Roman"/>
          <w:color w:val="000000"/>
          <w:sz w:val="24"/>
          <w:szCs w:val="24"/>
        </w:rPr>
        <w:t xml:space="preserve"> amacı; Başkent Üniversitesi Kalite Yönetim Sistemi’nin eksiksiz bir şekilde uygulanmasını sağlamak üzere hayata geçirilecek tüm süreçlerde uygunsuzluğa yol açan ana nedenleri belirlemek, nedenleri ortadan kaldırmak için düzeltici faaliyetleri planlamak, uygulamak, yürütmek ve kontrol etmek; hataya yol açan konuların ortadan kaldırılması ile muhtemel uygunsuzlukların önlenmesi için yapılacak düzeltici faaliyetlerin kayıt altına alınmasını sağlamak ve sorumluları belirleyerek etkililiğini sürekli olarak izlemektir. </w:t>
      </w:r>
    </w:p>
    <w:p>
      <w:pPr>
        <w:pStyle w:val="ListeParagraf"/>
        <w:numPr>
          <w:ilvl w:val="0"/>
          <w:numId w:val="6"/>
        </w:numPr>
        <w:rPr>
          <w:rStyle w:val="Gl"/>
          <w:rFonts w:ascii="Times New Roman" w:hAnsi="Times New Roman"/>
          <w:sz w:val="24"/>
        </w:rPr>
      </w:pPr>
      <w:r>
        <w:rPr>
          <w:rStyle w:val="Gl"/>
          <w:rFonts w:ascii="Times New Roman" w:hAnsi="Times New Roman"/>
          <w:sz w:val="24"/>
        </w:rPr>
        <w:t>KAPSAM</w:t>
      </w:r>
    </w:p>
    <w:p>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Bu </w:t>
      </w:r>
      <w:proofErr w:type="gramStart"/>
      <w:r>
        <w:rPr>
          <w:rFonts w:ascii="Times New Roman" w:eastAsia="Times New Roman" w:hAnsi="Times New Roman"/>
          <w:color w:val="000000"/>
          <w:sz w:val="24"/>
          <w:szCs w:val="24"/>
        </w:rPr>
        <w:t>prosedür</w:t>
      </w:r>
      <w:proofErr w:type="gramEnd"/>
      <w:r>
        <w:rPr>
          <w:rFonts w:ascii="Times New Roman" w:eastAsia="Times New Roman" w:hAnsi="Times New Roman"/>
          <w:color w:val="000000"/>
          <w:sz w:val="24"/>
          <w:szCs w:val="24"/>
        </w:rPr>
        <w:t xml:space="preserve">, Başkent Üniversitesi’nin tüm akademik ve idari birimlerinde, Kalite Yönetim Sistemi kapsamında tespit edilen uygunsuzlukların giderilmesini, iç ve dış denetimlerde belirlenen eksikliklerin düzeltilmesini, paydaşlardan gelen geri bildirimler ve şikayetlerden kaynaklanan sorunların ele alınmasını, iyileştirme gerektiren tüm süreçlerin analiz edilmesini, uygun düzeltici faaliyetlerin planlanmasını, uygulanmasını ve etkinliğinin izlenmesini kapsar. </w:t>
      </w:r>
    </w:p>
    <w:p>
      <w:pPr>
        <w:pStyle w:val="ListeParagraf"/>
        <w:numPr>
          <w:ilvl w:val="0"/>
          <w:numId w:val="6"/>
        </w:numPr>
        <w:rPr>
          <w:rStyle w:val="Gl"/>
          <w:rFonts w:ascii="Times New Roman" w:hAnsi="Times New Roman"/>
          <w:sz w:val="24"/>
        </w:rPr>
      </w:pPr>
      <w:r>
        <w:rPr>
          <w:rStyle w:val="Gl"/>
          <w:rFonts w:ascii="Times New Roman" w:hAnsi="Times New Roman"/>
          <w:sz w:val="24"/>
        </w:rPr>
        <w:t>SORUMLULAR</w:t>
      </w:r>
    </w:p>
    <w:p>
      <w:pPr>
        <w:pStyle w:val="ListeParagraf"/>
        <w:ind w:left="360"/>
        <w:rPr>
          <w:rStyle w:val="Gl"/>
          <w:rFonts w:ascii="Times New Roman" w:hAnsi="Times New Roman"/>
          <w:sz w:val="24"/>
        </w:rPr>
      </w:pPr>
    </w:p>
    <w:p>
      <w:pPr>
        <w:pStyle w:val="ListeParagraf"/>
        <w:numPr>
          <w:ilvl w:val="1"/>
          <w:numId w:val="6"/>
        </w:numPr>
        <w:ind w:left="567" w:hanging="425"/>
        <w:jc w:val="both"/>
        <w:rPr>
          <w:rFonts w:ascii="Times New Roman" w:eastAsia="Times New Roman" w:hAnsi="Times New Roman"/>
          <w:sz w:val="24"/>
          <w:szCs w:val="24"/>
        </w:rPr>
      </w:pPr>
      <w:r>
        <w:rPr>
          <w:rFonts w:ascii="Times New Roman" w:eastAsia="Times New Roman" w:hAnsi="Times New Roman"/>
          <w:sz w:val="24"/>
          <w:szCs w:val="24"/>
        </w:rPr>
        <w:t xml:space="preserve">Bu </w:t>
      </w:r>
      <w:proofErr w:type="gramStart"/>
      <w:r>
        <w:rPr>
          <w:rFonts w:ascii="Times New Roman" w:eastAsia="Times New Roman" w:hAnsi="Times New Roman"/>
          <w:sz w:val="24"/>
          <w:szCs w:val="24"/>
        </w:rPr>
        <w:t>prosedürün</w:t>
      </w:r>
      <w:proofErr w:type="gramEnd"/>
      <w:r>
        <w:rPr>
          <w:rFonts w:ascii="Times New Roman" w:eastAsia="Times New Roman" w:hAnsi="Times New Roman"/>
          <w:sz w:val="24"/>
          <w:szCs w:val="24"/>
        </w:rPr>
        <w:t xml:space="preserve"> hazırlanması ve yönetiminden Kalite ve Akreditasyon Koordinatörlüğü sorumludur.</w:t>
      </w:r>
    </w:p>
    <w:p>
      <w:pPr>
        <w:pStyle w:val="ListeParagraf"/>
        <w:numPr>
          <w:ilvl w:val="1"/>
          <w:numId w:val="6"/>
        </w:numPr>
        <w:ind w:left="567" w:hanging="425"/>
        <w:jc w:val="both"/>
        <w:rPr>
          <w:rFonts w:ascii="Times New Roman" w:eastAsia="Times New Roman" w:hAnsi="Times New Roman"/>
          <w:sz w:val="24"/>
          <w:szCs w:val="24"/>
        </w:rPr>
      </w:pPr>
      <w:r>
        <w:rPr>
          <w:rFonts w:ascii="Times New Roman" w:eastAsia="Times New Roman" w:hAnsi="Times New Roman"/>
          <w:sz w:val="24"/>
          <w:szCs w:val="24"/>
        </w:rPr>
        <w:t xml:space="preserve">Bu </w:t>
      </w:r>
      <w:proofErr w:type="gramStart"/>
      <w:r>
        <w:rPr>
          <w:rFonts w:ascii="Times New Roman" w:eastAsia="Times New Roman" w:hAnsi="Times New Roman"/>
          <w:sz w:val="24"/>
          <w:szCs w:val="24"/>
        </w:rPr>
        <w:t>prosedürün</w:t>
      </w:r>
      <w:proofErr w:type="gramEnd"/>
      <w:r>
        <w:rPr>
          <w:rFonts w:ascii="Times New Roman" w:eastAsia="Times New Roman" w:hAnsi="Times New Roman"/>
          <w:sz w:val="24"/>
          <w:szCs w:val="24"/>
        </w:rPr>
        <w:t xml:space="preserve"> sistem onayı Kalite Yönetim Temsilcisi / Kalite Uzmanı tarafından yapılır.</w:t>
      </w:r>
    </w:p>
    <w:p>
      <w:pPr>
        <w:pStyle w:val="ListeParagraf"/>
        <w:numPr>
          <w:ilvl w:val="1"/>
          <w:numId w:val="6"/>
        </w:numPr>
        <w:ind w:left="567" w:hanging="425"/>
        <w:jc w:val="both"/>
        <w:rPr>
          <w:rFonts w:ascii="Times New Roman" w:eastAsia="Times New Roman" w:hAnsi="Times New Roman"/>
          <w:sz w:val="24"/>
          <w:szCs w:val="24"/>
        </w:rPr>
      </w:pPr>
      <w:r>
        <w:rPr>
          <w:rFonts w:ascii="Times New Roman" w:eastAsia="Times New Roman" w:hAnsi="Times New Roman"/>
          <w:sz w:val="24"/>
          <w:szCs w:val="24"/>
        </w:rPr>
        <w:t>Onaylanması ve yürürlüğe konulmasından Başkent Üniversitesi Rektörü ve/veya Rektör Yardımcısı sorumludur.</w:t>
      </w:r>
    </w:p>
    <w:p>
      <w:pPr>
        <w:pStyle w:val="ListeParagraf"/>
        <w:numPr>
          <w:ilvl w:val="1"/>
          <w:numId w:val="6"/>
        </w:numPr>
        <w:spacing w:after="0"/>
        <w:ind w:left="567" w:hanging="425"/>
        <w:jc w:val="both"/>
        <w:rPr>
          <w:rFonts w:ascii="Times New Roman" w:eastAsia="Times New Roman" w:hAnsi="Times New Roman"/>
          <w:sz w:val="24"/>
          <w:szCs w:val="24"/>
        </w:rPr>
      </w:pPr>
      <w:r>
        <w:rPr>
          <w:rFonts w:ascii="Times New Roman" w:eastAsia="Times New Roman" w:hAnsi="Times New Roman"/>
          <w:sz w:val="24"/>
          <w:szCs w:val="24"/>
        </w:rPr>
        <w:t xml:space="preserve">Kalite Yönetim Temsilcisi, Kalite ve Akreditasyon Koordinatörlüğü, Birim Kalite Sorumluları ve tüm birimlerin Üst Yöneticileri bu </w:t>
      </w:r>
      <w:proofErr w:type="gramStart"/>
      <w:r>
        <w:rPr>
          <w:rFonts w:ascii="Times New Roman" w:eastAsia="Times New Roman" w:hAnsi="Times New Roman"/>
          <w:sz w:val="24"/>
          <w:szCs w:val="24"/>
        </w:rPr>
        <w:t>prosedürün</w:t>
      </w:r>
      <w:proofErr w:type="gramEnd"/>
      <w:r>
        <w:rPr>
          <w:rFonts w:ascii="Times New Roman" w:eastAsia="Times New Roman" w:hAnsi="Times New Roman"/>
          <w:sz w:val="24"/>
          <w:szCs w:val="24"/>
        </w:rPr>
        <w:t xml:space="preserve"> uygulanmasından sorumludur.</w:t>
      </w:r>
    </w:p>
    <w:p>
      <w:pPr>
        <w:spacing w:after="0"/>
        <w:jc w:val="both"/>
        <w:rPr>
          <w:rFonts w:ascii="Times New Roman" w:eastAsia="Times New Roman" w:hAnsi="Times New Roman"/>
          <w:color w:val="000000"/>
          <w:sz w:val="24"/>
          <w:szCs w:val="24"/>
        </w:rPr>
      </w:pPr>
    </w:p>
    <w:p>
      <w:pPr>
        <w:pStyle w:val="ListeParagraf"/>
        <w:numPr>
          <w:ilvl w:val="0"/>
          <w:numId w:val="6"/>
        </w:numPr>
        <w:rPr>
          <w:rStyle w:val="Gl"/>
          <w:rFonts w:ascii="Times New Roman" w:hAnsi="Times New Roman"/>
          <w:sz w:val="24"/>
        </w:rPr>
      </w:pPr>
      <w:r>
        <w:rPr>
          <w:rStyle w:val="Gl"/>
          <w:rFonts w:ascii="Times New Roman" w:hAnsi="Times New Roman"/>
          <w:sz w:val="24"/>
        </w:rPr>
        <w:t>TERİMLER VE TANIMLAR</w:t>
      </w:r>
    </w:p>
    <w:p>
      <w:pPr>
        <w:pStyle w:val="ListeParagraf"/>
        <w:ind w:left="360"/>
        <w:rPr>
          <w:rStyle w:val="Gl"/>
          <w:rFonts w:ascii="Times New Roman" w:hAnsi="Times New Roman"/>
          <w:sz w:val="24"/>
        </w:rPr>
      </w:pPr>
    </w:p>
    <w:p>
      <w:pPr>
        <w:pStyle w:val="ListeParagraf"/>
        <w:numPr>
          <w:ilvl w:val="1"/>
          <w:numId w:val="6"/>
        </w:numPr>
        <w:ind w:left="567" w:hanging="425"/>
        <w:jc w:val="both"/>
        <w:rPr>
          <w:rFonts w:ascii="Times New Roman" w:eastAsia="Times New Roman" w:hAnsi="Times New Roman"/>
          <w:bCs/>
          <w:color w:val="0033CC"/>
          <w:sz w:val="24"/>
          <w:szCs w:val="24"/>
        </w:rPr>
      </w:pPr>
      <w:r>
        <w:rPr>
          <w:rFonts w:ascii="Times New Roman" w:eastAsia="Times New Roman" w:hAnsi="Times New Roman"/>
          <w:b/>
          <w:bCs/>
          <w:color w:val="000000"/>
          <w:sz w:val="24"/>
          <w:szCs w:val="24"/>
        </w:rPr>
        <w:t xml:space="preserve">Düzeltici Faaliyet: </w:t>
      </w:r>
      <w:r>
        <w:rPr>
          <w:rFonts w:ascii="Times New Roman" w:eastAsia="Times New Roman" w:hAnsi="Times New Roman"/>
          <w:bCs/>
          <w:color w:val="000000"/>
          <w:sz w:val="24"/>
          <w:szCs w:val="24"/>
        </w:rPr>
        <w:t>Kuruluşun, bir hata, kaza, şikâyet veya diğer olumsuz durumların nedenlerini belirleyerek ve düzelterek tekrarlanmasını önlemek için yaptığı faaliyetlerdir.</w:t>
      </w:r>
    </w:p>
    <w:p>
      <w:pPr>
        <w:pStyle w:val="ListeParagraf"/>
        <w:numPr>
          <w:ilvl w:val="1"/>
          <w:numId w:val="6"/>
        </w:numPr>
        <w:ind w:left="567" w:hanging="425"/>
        <w:jc w:val="both"/>
        <w:rPr>
          <w:rFonts w:ascii="Times New Roman" w:eastAsia="Times New Roman" w:hAnsi="Times New Roman"/>
          <w:bCs/>
          <w:sz w:val="24"/>
          <w:szCs w:val="24"/>
        </w:rPr>
      </w:pPr>
      <w:r>
        <w:rPr>
          <w:rFonts w:ascii="Times New Roman" w:eastAsia="Times New Roman" w:hAnsi="Times New Roman"/>
          <w:b/>
          <w:bCs/>
          <w:sz w:val="24"/>
          <w:szCs w:val="24"/>
        </w:rPr>
        <w:t>Uygunluk:</w:t>
      </w:r>
      <w:r>
        <w:rPr>
          <w:rFonts w:ascii="Times New Roman" w:eastAsia="Times New Roman" w:hAnsi="Times New Roman"/>
          <w:bCs/>
          <w:sz w:val="24"/>
          <w:szCs w:val="24"/>
        </w:rPr>
        <w:t xml:space="preserve"> Bir şartın (gerekliliğin) yerine getirilmesi. </w:t>
      </w:r>
    </w:p>
    <w:p>
      <w:pPr>
        <w:pStyle w:val="ListeParagraf"/>
        <w:numPr>
          <w:ilvl w:val="1"/>
          <w:numId w:val="6"/>
        </w:numPr>
        <w:ind w:left="567" w:hanging="425"/>
        <w:jc w:val="both"/>
        <w:rPr>
          <w:rFonts w:ascii="Times New Roman" w:eastAsia="Times New Roman" w:hAnsi="Times New Roman"/>
          <w:bCs/>
          <w:sz w:val="24"/>
          <w:szCs w:val="24"/>
        </w:rPr>
      </w:pPr>
      <w:r>
        <w:rPr>
          <w:rFonts w:ascii="Times New Roman" w:eastAsia="Times New Roman" w:hAnsi="Times New Roman"/>
          <w:b/>
          <w:bCs/>
          <w:sz w:val="24"/>
          <w:szCs w:val="24"/>
        </w:rPr>
        <w:t>Uygunsuzluk:</w:t>
      </w:r>
      <w:r>
        <w:rPr>
          <w:rFonts w:ascii="Times New Roman" w:eastAsia="Times New Roman" w:hAnsi="Times New Roman"/>
          <w:bCs/>
          <w:sz w:val="24"/>
          <w:szCs w:val="24"/>
        </w:rPr>
        <w:t xml:space="preserve"> Bir şartın (gerekliliğin) yerine getirilememesi. </w:t>
      </w:r>
    </w:p>
    <w:p>
      <w:pPr>
        <w:pStyle w:val="ListeParagraf"/>
        <w:numPr>
          <w:ilvl w:val="1"/>
          <w:numId w:val="6"/>
        </w:numPr>
        <w:ind w:left="567" w:hanging="425"/>
        <w:jc w:val="both"/>
        <w:rPr>
          <w:rFonts w:ascii="Times New Roman" w:eastAsia="Times New Roman" w:hAnsi="Times New Roman"/>
          <w:bCs/>
          <w:sz w:val="24"/>
          <w:szCs w:val="24"/>
        </w:rPr>
      </w:pPr>
      <w:r>
        <w:rPr>
          <w:rFonts w:ascii="Times New Roman" w:eastAsia="Times New Roman" w:hAnsi="Times New Roman"/>
          <w:b/>
          <w:bCs/>
          <w:sz w:val="24"/>
          <w:szCs w:val="24"/>
        </w:rPr>
        <w:t>Saptanmış (Mevcut) Uygunsuzluk:</w:t>
      </w:r>
      <w:r>
        <w:rPr>
          <w:rFonts w:ascii="Times New Roman" w:eastAsia="Times New Roman" w:hAnsi="Times New Roman"/>
          <w:bCs/>
          <w:sz w:val="24"/>
          <w:szCs w:val="24"/>
        </w:rPr>
        <w:t xml:space="preserve"> Uygunsuzluğun ortaya çıktığının tespit edilmiş olması. </w:t>
      </w:r>
    </w:p>
    <w:p>
      <w:pPr>
        <w:pStyle w:val="ListeParagraf"/>
        <w:numPr>
          <w:ilvl w:val="1"/>
          <w:numId w:val="6"/>
        </w:numPr>
        <w:ind w:left="567" w:hanging="425"/>
        <w:jc w:val="both"/>
        <w:rPr>
          <w:rFonts w:ascii="Times New Roman" w:eastAsia="Times New Roman" w:hAnsi="Times New Roman"/>
          <w:bCs/>
          <w:sz w:val="24"/>
          <w:szCs w:val="24"/>
        </w:rPr>
      </w:pPr>
      <w:r>
        <w:rPr>
          <w:rFonts w:ascii="Times New Roman" w:eastAsia="Times New Roman" w:hAnsi="Times New Roman"/>
          <w:b/>
          <w:bCs/>
          <w:sz w:val="24"/>
          <w:szCs w:val="24"/>
        </w:rPr>
        <w:t>Risk:</w:t>
      </w:r>
      <w:r>
        <w:rPr>
          <w:rFonts w:ascii="Times New Roman" w:eastAsia="Times New Roman" w:hAnsi="Times New Roman"/>
          <w:bCs/>
          <w:sz w:val="24"/>
          <w:szCs w:val="24"/>
        </w:rPr>
        <w:t xml:space="preserve"> Henüz uygunsuzluğun ortaya çıkmadığı, fakat çıkma olasılığının bulunduğu durum.</w:t>
      </w:r>
    </w:p>
    <w:p>
      <w:pPr>
        <w:spacing w:after="0"/>
        <w:jc w:val="both"/>
        <w:rPr>
          <w:rFonts w:ascii="Times New Roman" w:eastAsia="Times New Roman" w:hAnsi="Times New Roman"/>
          <w:bCs/>
          <w:color w:val="000000"/>
          <w:sz w:val="24"/>
          <w:szCs w:val="24"/>
        </w:rPr>
      </w:pPr>
    </w:p>
    <w:p>
      <w:pPr>
        <w:spacing w:after="0"/>
        <w:jc w:val="both"/>
        <w:rPr>
          <w:rFonts w:ascii="Times New Roman" w:eastAsia="Times New Roman" w:hAnsi="Times New Roman"/>
          <w:bCs/>
          <w:color w:val="000000"/>
          <w:sz w:val="24"/>
          <w:szCs w:val="24"/>
        </w:rPr>
      </w:pPr>
    </w:p>
    <w:p>
      <w:pPr>
        <w:pStyle w:val="ListeParagraf"/>
        <w:numPr>
          <w:ilvl w:val="0"/>
          <w:numId w:val="6"/>
        </w:numPr>
        <w:rPr>
          <w:rStyle w:val="Gl"/>
          <w:rFonts w:ascii="Times New Roman" w:eastAsia="Times New Roman" w:hAnsi="Times New Roman"/>
          <w:bCs w:val="0"/>
          <w:sz w:val="24"/>
          <w:szCs w:val="24"/>
        </w:rPr>
      </w:pPr>
      <w:r>
        <w:rPr>
          <w:rStyle w:val="Gl"/>
          <w:rFonts w:ascii="Times New Roman" w:hAnsi="Times New Roman"/>
          <w:sz w:val="24"/>
        </w:rPr>
        <w:lastRenderedPageBreak/>
        <w:t>UYGULAMA</w:t>
      </w:r>
    </w:p>
    <w:p>
      <w:pPr>
        <w:pStyle w:val="ListeParagraf"/>
        <w:spacing w:before="240"/>
        <w:ind w:left="360"/>
        <w:rPr>
          <w:rFonts w:ascii="Times New Roman" w:eastAsia="Times New Roman" w:hAnsi="Times New Roman"/>
          <w:b/>
          <w:sz w:val="24"/>
          <w:szCs w:val="24"/>
        </w:rPr>
      </w:pPr>
      <w:r>
        <w:rPr>
          <w:rStyle w:val="Gl"/>
          <w:rFonts w:ascii="Times New Roman" w:hAnsi="Times New Roman"/>
          <w:b w:val="0"/>
          <w:sz w:val="24"/>
        </w:rPr>
        <w:t xml:space="preserve"> </w:t>
      </w:r>
    </w:p>
    <w:p>
      <w:pPr>
        <w:pStyle w:val="ListeParagraf"/>
        <w:numPr>
          <w:ilvl w:val="1"/>
          <w:numId w:val="6"/>
        </w:numPr>
        <w:spacing w:before="240"/>
        <w:ind w:left="567" w:hanging="425"/>
        <w:jc w:val="both"/>
        <w:textAlignment w:val="baseline"/>
        <w:rPr>
          <w:rFonts w:ascii="Times New Roman" w:eastAsia="Times New Roman" w:hAnsi="Times New Roman"/>
          <w:b/>
          <w:color w:val="000000"/>
          <w:sz w:val="24"/>
          <w:szCs w:val="24"/>
        </w:rPr>
      </w:pPr>
      <w:r>
        <w:rPr>
          <w:rFonts w:ascii="Times New Roman" w:eastAsia="Times New Roman" w:hAnsi="Times New Roman"/>
          <w:b/>
          <w:color w:val="000000"/>
          <w:sz w:val="24"/>
          <w:szCs w:val="24"/>
        </w:rPr>
        <w:t>Faaliyetin Başlatılması</w:t>
      </w:r>
    </w:p>
    <w:p>
      <w:pPr>
        <w:spacing w:before="240"/>
        <w:ind w:left="142"/>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Potansiyel hata kaynaklarını tespit etmeye ve muhtemel hata ihtimallerini ortadan kaldırmaya yönelik olarak; uygunsuzluklara ilişkin kayıtlar, kalite iç tetkik sonuçları, ilgili taraflardan gelen talepler değerlendirilir. Yapılan değerlendirme neticesinde uygunsuzluk kaynağı olabilecek faaliyet ve işlemler belirlenmeye çalışılır. Düzeltici faaliyetler bu </w:t>
      </w:r>
      <w:proofErr w:type="gramStart"/>
      <w:r>
        <w:rPr>
          <w:rFonts w:ascii="Times New Roman" w:eastAsia="Times New Roman" w:hAnsi="Times New Roman"/>
          <w:color w:val="000000"/>
          <w:sz w:val="24"/>
          <w:szCs w:val="24"/>
        </w:rPr>
        <w:t>prosedürde</w:t>
      </w:r>
      <w:proofErr w:type="gramEnd"/>
      <w:r>
        <w:rPr>
          <w:rFonts w:ascii="Times New Roman" w:eastAsia="Times New Roman" w:hAnsi="Times New Roman"/>
          <w:color w:val="000000"/>
          <w:sz w:val="24"/>
          <w:szCs w:val="24"/>
        </w:rPr>
        <w:t xml:space="preserve"> verilen prensipler doğrultusunda aşağıda verilen durumlarda başlatılabilir:  </w:t>
      </w:r>
    </w:p>
    <w:p>
      <w:pPr>
        <w:pStyle w:val="ListeParagraf"/>
        <w:numPr>
          <w:ilvl w:val="0"/>
          <w:numId w:val="20"/>
        </w:numPr>
        <w:spacing w:after="0"/>
        <w:ind w:left="426"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Üniversite faaliyetlerde tespit edilen uygunsuzluklarda,</w:t>
      </w:r>
    </w:p>
    <w:p>
      <w:pPr>
        <w:pStyle w:val="ListeParagraf"/>
        <w:numPr>
          <w:ilvl w:val="0"/>
          <w:numId w:val="20"/>
        </w:numPr>
        <w:spacing w:before="240" w:after="0"/>
        <w:ind w:left="426"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Kalite Yönetim Sistemi dokümanlarına aykırı uygulamalar olduğunda,</w:t>
      </w:r>
    </w:p>
    <w:p>
      <w:pPr>
        <w:pStyle w:val="ListeParagraf"/>
        <w:numPr>
          <w:ilvl w:val="0"/>
          <w:numId w:val="20"/>
        </w:numPr>
        <w:spacing w:before="240" w:after="0"/>
        <w:ind w:left="426"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İç ve dış tetkikler sonucunda,</w:t>
      </w:r>
    </w:p>
    <w:p>
      <w:pPr>
        <w:pStyle w:val="ListeParagraf"/>
        <w:numPr>
          <w:ilvl w:val="0"/>
          <w:numId w:val="20"/>
        </w:numPr>
        <w:spacing w:before="240" w:after="0"/>
        <w:ind w:left="426"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Yönetimin kalite sistemini gözden geçirmesi toplantısından sonra düzeltici faaliyet gerçekleştirmeleri talebiyle,</w:t>
      </w:r>
    </w:p>
    <w:p>
      <w:pPr>
        <w:pStyle w:val="ListeParagraf"/>
        <w:numPr>
          <w:ilvl w:val="0"/>
          <w:numId w:val="20"/>
        </w:numPr>
        <w:spacing w:before="240" w:after="0"/>
        <w:ind w:left="426"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Çalışanların düzeltici faaliyetler talebiyle,</w:t>
      </w:r>
    </w:p>
    <w:p>
      <w:pPr>
        <w:pStyle w:val="ListeParagraf"/>
        <w:numPr>
          <w:ilvl w:val="0"/>
          <w:numId w:val="20"/>
        </w:numPr>
        <w:spacing w:before="240" w:after="0"/>
        <w:ind w:left="426"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Paydaş memnuniyet anketleri sonucunda,</w:t>
      </w:r>
    </w:p>
    <w:p>
      <w:pPr>
        <w:pStyle w:val="ListeParagraf"/>
        <w:numPr>
          <w:ilvl w:val="0"/>
          <w:numId w:val="20"/>
        </w:numPr>
        <w:spacing w:before="240" w:after="0"/>
        <w:ind w:left="426"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Öğrenci değerlendirme sonuçlarında,</w:t>
      </w:r>
    </w:p>
    <w:p>
      <w:pPr>
        <w:pStyle w:val="ListeParagraf"/>
        <w:numPr>
          <w:ilvl w:val="0"/>
          <w:numId w:val="20"/>
        </w:numPr>
        <w:spacing w:before="240" w:after="0"/>
        <w:ind w:left="426"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Hizmet alan şikâyetleri alındığında,</w:t>
      </w:r>
    </w:p>
    <w:p>
      <w:pPr>
        <w:pStyle w:val="ListeParagraf"/>
        <w:numPr>
          <w:ilvl w:val="0"/>
          <w:numId w:val="20"/>
        </w:numPr>
        <w:spacing w:before="240" w:after="0"/>
        <w:ind w:left="426"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Veri analizi sonuçlarında,</w:t>
      </w:r>
    </w:p>
    <w:p>
      <w:pPr>
        <w:pStyle w:val="ListeParagraf"/>
        <w:numPr>
          <w:ilvl w:val="0"/>
          <w:numId w:val="20"/>
        </w:numPr>
        <w:spacing w:before="240" w:after="0"/>
        <w:ind w:left="426" w:hanging="28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Satın alınan hizmetlerin değerlendirilmesi sonucunda.</w:t>
      </w:r>
    </w:p>
    <w:p>
      <w:pPr>
        <w:pStyle w:val="ListeParagraf"/>
        <w:spacing w:before="240" w:after="0"/>
        <w:ind w:left="284"/>
        <w:jc w:val="both"/>
        <w:textAlignment w:val="baseline"/>
        <w:rPr>
          <w:rFonts w:ascii="Times New Roman" w:eastAsia="Times New Roman" w:hAnsi="Times New Roman"/>
          <w:color w:val="000000"/>
          <w:sz w:val="24"/>
          <w:szCs w:val="24"/>
        </w:rPr>
      </w:pPr>
    </w:p>
    <w:p>
      <w:pPr>
        <w:pStyle w:val="ListeParagraf"/>
        <w:numPr>
          <w:ilvl w:val="1"/>
          <w:numId w:val="6"/>
        </w:numPr>
        <w:spacing w:before="240" w:after="0"/>
        <w:ind w:left="567" w:hanging="425"/>
        <w:jc w:val="both"/>
        <w:textAlignment w:val="baseline"/>
        <w:rPr>
          <w:rFonts w:ascii="Times New Roman" w:eastAsia="Times New Roman" w:hAnsi="Times New Roman"/>
          <w:b/>
          <w:color w:val="000000"/>
          <w:sz w:val="24"/>
          <w:szCs w:val="24"/>
        </w:rPr>
      </w:pPr>
      <w:r>
        <w:rPr>
          <w:rFonts w:ascii="Times New Roman" w:eastAsia="Times New Roman" w:hAnsi="Times New Roman"/>
          <w:b/>
          <w:color w:val="000000"/>
          <w:sz w:val="24"/>
          <w:szCs w:val="24"/>
        </w:rPr>
        <w:t>Taleplerin Değerlendirilmesi ve Faaliyetlerin Planlanması</w:t>
      </w:r>
    </w:p>
    <w:p>
      <w:pPr>
        <w:numPr>
          <w:ilvl w:val="2"/>
          <w:numId w:val="6"/>
        </w:numPr>
        <w:spacing w:before="240" w:after="0"/>
        <w:ind w:left="851" w:hanging="709"/>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Yapılan çalışmalar neticesinde kararlaştırılan düzeltici faaliyetler ve tespit edilen uygunsuzluklar için “Düzeltici Faaliyet Formu (</w:t>
      </w:r>
      <w:proofErr w:type="gramStart"/>
      <w:r>
        <w:rPr>
          <w:rFonts w:ascii="Times New Roman" w:eastAsia="Times New Roman" w:hAnsi="Times New Roman"/>
          <w:color w:val="000000"/>
          <w:sz w:val="24"/>
          <w:szCs w:val="24"/>
        </w:rPr>
        <w:t>BÜKAK.FRM</w:t>
      </w:r>
      <w:proofErr w:type="gramEnd"/>
      <w:r>
        <w:rPr>
          <w:rFonts w:ascii="Times New Roman" w:eastAsia="Times New Roman" w:hAnsi="Times New Roman"/>
          <w:color w:val="000000"/>
          <w:sz w:val="24"/>
          <w:szCs w:val="24"/>
        </w:rPr>
        <w:t>.12)” düzenlenir.</w:t>
      </w:r>
    </w:p>
    <w:p>
      <w:pPr>
        <w:numPr>
          <w:ilvl w:val="2"/>
          <w:numId w:val="6"/>
        </w:numPr>
        <w:spacing w:before="240" w:after="0"/>
        <w:ind w:left="851" w:hanging="709"/>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Formun içeriğinde uygunsuzluğun tanımı, nedenleri ve giderilmesi için gerekli faaliyetler ve ilgili düzeltici faaliyetten sorumlu birim çalışanı ve / veya ilgili birim ya da birimler belirlenerek faaliyetlerin başlama ve tamamlama tarihi birim yöneticisi tarafından tespit edilerek onaylanır.</w:t>
      </w:r>
    </w:p>
    <w:p>
      <w:pPr>
        <w:numPr>
          <w:ilvl w:val="2"/>
          <w:numId w:val="6"/>
        </w:numPr>
        <w:spacing w:before="240" w:after="0"/>
        <w:ind w:left="851" w:hanging="709"/>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Düzeltici faaliyetin sonucunda yapılan faaliyetler için başlatılan işlemler Kalite ve Akreditasyon Koordinatörlüğü tarafından izlenerek Düzeltici Faaliyet Takip ve Kontrol Tablosu Formuna (</w:t>
      </w:r>
      <w:proofErr w:type="gramStart"/>
      <w:r>
        <w:rPr>
          <w:rFonts w:ascii="Times New Roman" w:eastAsia="Times New Roman" w:hAnsi="Times New Roman"/>
          <w:color w:val="000000"/>
          <w:sz w:val="24"/>
          <w:szCs w:val="24"/>
        </w:rPr>
        <w:t>BÜKAK.FRM</w:t>
      </w:r>
      <w:proofErr w:type="gramEnd"/>
      <w:r>
        <w:rPr>
          <w:rFonts w:ascii="Times New Roman" w:eastAsia="Times New Roman" w:hAnsi="Times New Roman"/>
          <w:color w:val="000000"/>
          <w:sz w:val="24"/>
          <w:szCs w:val="24"/>
        </w:rPr>
        <w:t>.13) kaydedilir.</w:t>
      </w:r>
    </w:p>
    <w:p>
      <w:pPr>
        <w:numPr>
          <w:ilvl w:val="2"/>
          <w:numId w:val="6"/>
        </w:numPr>
        <w:spacing w:before="240" w:after="0"/>
        <w:ind w:left="851" w:hanging="709"/>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Birim kapsamında sonuçlandırılamayan düzeltici faaliyetler için ilgili birimler ile ortak düzeltici faaliyetler başlatılır ve aynı süreç izlenir.</w:t>
      </w:r>
    </w:p>
    <w:p>
      <w:pPr>
        <w:numPr>
          <w:ilvl w:val="2"/>
          <w:numId w:val="6"/>
        </w:numPr>
        <w:spacing w:before="240" w:after="0"/>
        <w:ind w:left="851" w:hanging="709"/>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Faaliyetlerin tamamlanıp tamamlanmadığının takibini, Yönetim Temsilcisi, Birim Kalite Sorumluları ve Birim Yöneticileri yapar.</w:t>
      </w:r>
    </w:p>
    <w:p>
      <w:pPr>
        <w:numPr>
          <w:ilvl w:val="2"/>
          <w:numId w:val="6"/>
        </w:numPr>
        <w:spacing w:before="240" w:after="0"/>
        <w:ind w:left="851" w:hanging="709"/>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Tamamlanan faaliyetlerin ilgili formunun sonuç kısmı imzalanarak kapatılır. Düzeltici faaliyetin belirlenen zamanda yerine getirilememesi durumunda uygun ek süre verilir.</w:t>
      </w:r>
    </w:p>
    <w:p>
      <w:pPr>
        <w:numPr>
          <w:ilvl w:val="2"/>
          <w:numId w:val="6"/>
        </w:numPr>
        <w:spacing w:before="240" w:after="0"/>
        <w:ind w:left="851" w:hanging="709"/>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Düzeltici faaliyetler, Yönetimi Gözden Geçirme toplantılarında ele alınır ve çözüm doğrultusunda karar alınır.</w:t>
      </w:r>
    </w:p>
    <w:p>
      <w:pPr>
        <w:numPr>
          <w:ilvl w:val="2"/>
          <w:numId w:val="6"/>
        </w:numPr>
        <w:spacing w:before="240" w:after="0"/>
        <w:ind w:left="851" w:hanging="709"/>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Kurumun faaliyetlerinin sürekli iyileştirilmesi kapsamında tamamlanan tüm düzeltici faaliyetler, Kalite ve Akreditasyon Koordinatörlüğü tarafından etkinliği (Üniversitemize katkıları, Üniversitemizin kazancı vb.) açısından değerlendirilir.</w:t>
      </w:r>
    </w:p>
    <w:p>
      <w:pPr>
        <w:spacing w:before="240" w:after="0"/>
        <w:jc w:val="both"/>
        <w:textAlignment w:val="baseline"/>
        <w:rPr>
          <w:rFonts w:ascii="Times New Roman" w:eastAsia="Times New Roman" w:hAnsi="Times New Roman"/>
          <w:color w:val="000000"/>
          <w:sz w:val="24"/>
          <w:szCs w:val="24"/>
        </w:rPr>
      </w:pPr>
    </w:p>
    <w:p>
      <w:pPr>
        <w:pStyle w:val="ListeParagraf"/>
        <w:numPr>
          <w:ilvl w:val="0"/>
          <w:numId w:val="6"/>
        </w:numPr>
        <w:spacing w:after="160"/>
        <w:textAlignment w:val="baseline"/>
        <w:rPr>
          <w:rFonts w:ascii="Times New Roman" w:eastAsia="Times New Roman" w:hAnsi="Times New Roman"/>
          <w:b/>
          <w:bCs/>
          <w:sz w:val="24"/>
          <w:szCs w:val="24"/>
        </w:rPr>
      </w:pPr>
      <w:r>
        <w:rPr>
          <w:rFonts w:ascii="Times New Roman" w:eastAsia="Times New Roman" w:hAnsi="Times New Roman"/>
          <w:b/>
          <w:sz w:val="24"/>
          <w:szCs w:val="24"/>
        </w:rPr>
        <w:t>KURUMSAL BİLGİ (KAYITLAR)</w:t>
      </w:r>
    </w:p>
    <w:p>
      <w:pPr>
        <w:spacing w:after="160"/>
        <w:ind w:left="426"/>
        <w:jc w:val="both"/>
        <w:textAlignment w:val="baseline"/>
        <w:rPr>
          <w:rFonts w:ascii="Times New Roman" w:eastAsia="Times New Roman" w:hAnsi="Times New Roman"/>
          <w:sz w:val="24"/>
          <w:szCs w:val="24"/>
        </w:rPr>
      </w:pPr>
      <w:r>
        <w:rPr>
          <w:rFonts w:ascii="Times New Roman" w:eastAsia="Times New Roman" w:hAnsi="Times New Roman"/>
          <w:sz w:val="24"/>
          <w:szCs w:val="24"/>
        </w:rPr>
        <w:t>Bu prosedürünün uygulanması sırasında oluşacak kayıtlar Kalite ve Akreditasyon Koordinatörlüğü ve ilgili birim sorumluları tarafından “</w:t>
      </w:r>
      <w:proofErr w:type="gramStart"/>
      <w:r>
        <w:rPr>
          <w:rFonts w:ascii="Times New Roman" w:eastAsia="Times New Roman" w:hAnsi="Times New Roman"/>
          <w:sz w:val="24"/>
          <w:szCs w:val="24"/>
        </w:rPr>
        <w:t>BÜ.PRSD</w:t>
      </w:r>
      <w:proofErr w:type="gramEnd"/>
      <w:r>
        <w:rPr>
          <w:rFonts w:ascii="Times New Roman" w:eastAsia="Times New Roman" w:hAnsi="Times New Roman"/>
          <w:sz w:val="24"/>
          <w:szCs w:val="24"/>
        </w:rPr>
        <w:t xml:space="preserve">.02 Kayıtların Kontrolü </w:t>
      </w:r>
      <w:proofErr w:type="spellStart"/>
      <w:r>
        <w:rPr>
          <w:rFonts w:ascii="Times New Roman" w:eastAsia="Times New Roman" w:hAnsi="Times New Roman"/>
          <w:sz w:val="24"/>
          <w:szCs w:val="24"/>
        </w:rPr>
        <w:t>Prosedürü”ne</w:t>
      </w:r>
      <w:proofErr w:type="spellEnd"/>
      <w:r>
        <w:rPr>
          <w:rFonts w:ascii="Times New Roman" w:eastAsia="Times New Roman" w:hAnsi="Times New Roman"/>
          <w:sz w:val="24"/>
          <w:szCs w:val="24"/>
        </w:rPr>
        <w:t xml:space="preserve"> göre muhafaza edilir.</w:t>
      </w:r>
    </w:p>
    <w:p>
      <w:pPr>
        <w:spacing w:after="160"/>
        <w:textAlignment w:val="baseline"/>
        <w:rPr>
          <w:rStyle w:val="Gl"/>
          <w:rFonts w:ascii="Times New Roman" w:eastAsia="Times New Roman" w:hAnsi="Times New Roman"/>
          <w:b w:val="0"/>
          <w:bCs w:val="0"/>
          <w:color w:val="000000"/>
          <w:sz w:val="24"/>
          <w:szCs w:val="24"/>
        </w:rPr>
      </w:pPr>
      <w:r>
        <w:rPr>
          <w:rFonts w:ascii="Times New Roman" w:eastAsia="Times New Roman" w:hAnsi="Times New Roman"/>
          <w:color w:val="000000"/>
          <w:sz w:val="24"/>
          <w:szCs w:val="24"/>
        </w:rPr>
        <w:t> </w:t>
      </w:r>
    </w:p>
    <w:p>
      <w:pPr>
        <w:pStyle w:val="ListeParagraf"/>
        <w:numPr>
          <w:ilvl w:val="0"/>
          <w:numId w:val="6"/>
        </w:numPr>
        <w:rPr>
          <w:rStyle w:val="Gl"/>
          <w:rFonts w:ascii="Times New Roman" w:hAnsi="Times New Roman"/>
          <w:sz w:val="24"/>
        </w:rPr>
      </w:pPr>
      <w:r>
        <w:rPr>
          <w:rStyle w:val="Gl"/>
          <w:rFonts w:ascii="Times New Roman" w:hAnsi="Times New Roman"/>
          <w:sz w:val="24"/>
        </w:rPr>
        <w:t>İLGİLİ DOKÜMANLAR</w:t>
      </w:r>
    </w:p>
    <w:p>
      <w:pPr>
        <w:pStyle w:val="ListeParagraf"/>
        <w:ind w:left="360"/>
        <w:rPr>
          <w:rStyle w:val="Gl"/>
          <w:rFonts w:ascii="Times New Roman" w:hAnsi="Times New Roman"/>
          <w:sz w:val="24"/>
        </w:rPr>
      </w:pPr>
    </w:p>
    <w:p>
      <w:pPr>
        <w:pStyle w:val="ListeParagraf"/>
        <w:numPr>
          <w:ilvl w:val="1"/>
          <w:numId w:val="6"/>
        </w:numPr>
        <w:ind w:left="709" w:hanging="567"/>
        <w:rPr>
          <w:rStyle w:val="Gl"/>
          <w:rFonts w:ascii="Times New Roman" w:hAnsi="Times New Roman"/>
          <w:sz w:val="24"/>
        </w:rPr>
      </w:pPr>
      <w:r>
        <w:rPr>
          <w:rStyle w:val="Gl"/>
          <w:rFonts w:ascii="Times New Roman" w:hAnsi="Times New Roman"/>
          <w:sz w:val="24"/>
        </w:rPr>
        <w:t>İç Kaynaklı Dokümanlar</w:t>
      </w:r>
    </w:p>
    <w:p>
      <w:pPr>
        <w:numPr>
          <w:ilvl w:val="0"/>
          <w:numId w:val="15"/>
        </w:numPr>
        <w:spacing w:after="0" w:line="259" w:lineRule="auto"/>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Uygun Olmayan Hizmetin Kontrolü Prosedürü  (</w:t>
      </w:r>
      <w:proofErr w:type="gramStart"/>
      <w:r>
        <w:rPr>
          <w:rFonts w:ascii="Times New Roman" w:eastAsia="Times New Roman" w:hAnsi="Times New Roman"/>
          <w:color w:val="000000"/>
          <w:sz w:val="24"/>
          <w:szCs w:val="24"/>
        </w:rPr>
        <w:t>BÜ.PRSD</w:t>
      </w:r>
      <w:proofErr w:type="gramEnd"/>
      <w:r>
        <w:rPr>
          <w:rFonts w:ascii="Times New Roman" w:eastAsia="Times New Roman" w:hAnsi="Times New Roman"/>
          <w:color w:val="000000"/>
          <w:sz w:val="24"/>
          <w:szCs w:val="24"/>
        </w:rPr>
        <w:t>.0.4)</w:t>
      </w:r>
    </w:p>
    <w:p>
      <w:pPr>
        <w:numPr>
          <w:ilvl w:val="0"/>
          <w:numId w:val="15"/>
        </w:numPr>
        <w:spacing w:after="0" w:line="259" w:lineRule="auto"/>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Yönetimin Sistemi Gözden Geçirmesi ve Liderlik Prosedürü (</w:t>
      </w:r>
      <w:proofErr w:type="gramStart"/>
      <w:r>
        <w:rPr>
          <w:rFonts w:ascii="Times New Roman" w:eastAsia="Times New Roman" w:hAnsi="Times New Roman"/>
          <w:color w:val="000000"/>
          <w:sz w:val="24"/>
          <w:szCs w:val="24"/>
        </w:rPr>
        <w:t>BÜ.PRSD</w:t>
      </w:r>
      <w:proofErr w:type="gramEnd"/>
      <w:r>
        <w:rPr>
          <w:rFonts w:ascii="Times New Roman" w:eastAsia="Times New Roman" w:hAnsi="Times New Roman"/>
          <w:color w:val="000000"/>
          <w:sz w:val="24"/>
          <w:szCs w:val="24"/>
        </w:rPr>
        <w:t>.07)</w:t>
      </w:r>
    </w:p>
    <w:p>
      <w:pPr>
        <w:numPr>
          <w:ilvl w:val="0"/>
          <w:numId w:val="15"/>
        </w:numPr>
        <w:spacing w:after="0" w:line="259" w:lineRule="auto"/>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Kalite İç Tetkik Prosedürü (</w:t>
      </w:r>
      <w:proofErr w:type="gramStart"/>
      <w:r>
        <w:rPr>
          <w:rFonts w:ascii="Times New Roman" w:eastAsia="Times New Roman" w:hAnsi="Times New Roman"/>
          <w:color w:val="000000"/>
          <w:sz w:val="24"/>
          <w:szCs w:val="24"/>
        </w:rPr>
        <w:t>BÜ.PRSD</w:t>
      </w:r>
      <w:proofErr w:type="gramEnd"/>
      <w:r>
        <w:rPr>
          <w:rFonts w:ascii="Times New Roman" w:eastAsia="Times New Roman" w:hAnsi="Times New Roman"/>
          <w:color w:val="000000"/>
          <w:sz w:val="24"/>
          <w:szCs w:val="24"/>
        </w:rPr>
        <w:t>.03)</w:t>
      </w:r>
    </w:p>
    <w:p>
      <w:pPr>
        <w:numPr>
          <w:ilvl w:val="0"/>
          <w:numId w:val="15"/>
        </w:numPr>
        <w:spacing w:after="0" w:line="259" w:lineRule="auto"/>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Düzeltici Faaliyet Formu (</w:t>
      </w:r>
      <w:proofErr w:type="gramStart"/>
      <w:r>
        <w:rPr>
          <w:rFonts w:ascii="Times New Roman" w:eastAsia="Times New Roman" w:hAnsi="Times New Roman"/>
          <w:color w:val="000000"/>
          <w:sz w:val="24"/>
          <w:szCs w:val="24"/>
        </w:rPr>
        <w:t>BÜKAK.FRM</w:t>
      </w:r>
      <w:proofErr w:type="gramEnd"/>
      <w:r>
        <w:rPr>
          <w:rFonts w:ascii="Times New Roman" w:eastAsia="Times New Roman" w:hAnsi="Times New Roman"/>
          <w:color w:val="000000"/>
          <w:sz w:val="24"/>
          <w:szCs w:val="24"/>
        </w:rPr>
        <w:t>.12)</w:t>
      </w:r>
    </w:p>
    <w:p>
      <w:pPr>
        <w:numPr>
          <w:ilvl w:val="0"/>
          <w:numId w:val="15"/>
        </w:numPr>
        <w:spacing w:after="0" w:line="259" w:lineRule="auto"/>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Düzeltici Faaliyet Takip ve Kontrol Tablosu (</w:t>
      </w:r>
      <w:proofErr w:type="gramStart"/>
      <w:r>
        <w:rPr>
          <w:rFonts w:ascii="Times New Roman" w:eastAsia="Times New Roman" w:hAnsi="Times New Roman"/>
          <w:color w:val="000000"/>
          <w:sz w:val="24"/>
          <w:szCs w:val="24"/>
        </w:rPr>
        <w:t>BÜKAK.FRM</w:t>
      </w:r>
      <w:proofErr w:type="gramEnd"/>
      <w:r>
        <w:rPr>
          <w:rFonts w:ascii="Times New Roman" w:eastAsia="Times New Roman" w:hAnsi="Times New Roman"/>
          <w:color w:val="000000"/>
          <w:sz w:val="24"/>
          <w:szCs w:val="24"/>
        </w:rPr>
        <w:t xml:space="preserve">.13) </w:t>
      </w:r>
    </w:p>
    <w:p>
      <w:pPr>
        <w:numPr>
          <w:ilvl w:val="0"/>
          <w:numId w:val="15"/>
        </w:numPr>
        <w:spacing w:after="0" w:line="259" w:lineRule="auto"/>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Uygunsuzluk Formu (</w:t>
      </w:r>
      <w:proofErr w:type="gramStart"/>
      <w:r>
        <w:rPr>
          <w:rFonts w:ascii="Times New Roman" w:eastAsia="Times New Roman" w:hAnsi="Times New Roman"/>
          <w:color w:val="000000"/>
          <w:sz w:val="24"/>
          <w:szCs w:val="24"/>
        </w:rPr>
        <w:t>BÜKAK.FRM</w:t>
      </w:r>
      <w:proofErr w:type="gramEnd"/>
      <w:r>
        <w:rPr>
          <w:rFonts w:ascii="Times New Roman" w:eastAsia="Times New Roman" w:hAnsi="Times New Roman"/>
          <w:color w:val="000000"/>
          <w:sz w:val="24"/>
          <w:szCs w:val="24"/>
        </w:rPr>
        <w:t>.14)</w:t>
      </w:r>
    </w:p>
    <w:p>
      <w:pPr>
        <w:numPr>
          <w:ilvl w:val="0"/>
          <w:numId w:val="15"/>
        </w:numPr>
        <w:spacing w:after="0" w:line="259" w:lineRule="auto"/>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Uygunsuz</w:t>
      </w:r>
      <w:bookmarkStart w:id="0" w:name="_GoBack"/>
      <w:bookmarkEnd w:id="0"/>
      <w:r>
        <w:rPr>
          <w:rFonts w:ascii="Times New Roman" w:eastAsia="Times New Roman" w:hAnsi="Times New Roman"/>
          <w:color w:val="000000"/>
          <w:sz w:val="24"/>
          <w:szCs w:val="24"/>
        </w:rPr>
        <w:t>luk Takip ve Kontrol Tablosu Formu (</w:t>
      </w:r>
      <w:proofErr w:type="gramStart"/>
      <w:r>
        <w:rPr>
          <w:rFonts w:ascii="Times New Roman" w:eastAsia="Times New Roman" w:hAnsi="Times New Roman"/>
          <w:color w:val="000000"/>
          <w:sz w:val="24"/>
          <w:szCs w:val="24"/>
        </w:rPr>
        <w:t>BÜKAK.FRM</w:t>
      </w:r>
      <w:proofErr w:type="gramEnd"/>
      <w:r>
        <w:rPr>
          <w:rFonts w:ascii="Times New Roman" w:eastAsia="Times New Roman" w:hAnsi="Times New Roman"/>
          <w:color w:val="000000"/>
          <w:sz w:val="24"/>
          <w:szCs w:val="24"/>
        </w:rPr>
        <w:t>.15</w:t>
      </w:r>
      <w:r>
        <w:rPr>
          <w:rFonts w:ascii="Times New Roman" w:eastAsia="Times New Roman" w:hAnsi="Times New Roman"/>
          <w:color w:val="000000"/>
          <w:sz w:val="24"/>
          <w:szCs w:val="24"/>
        </w:rPr>
        <w:t>)</w:t>
      </w:r>
    </w:p>
    <w:p>
      <w:pPr>
        <w:spacing w:after="0"/>
        <w:rPr>
          <w:rStyle w:val="Gl"/>
          <w:rFonts w:ascii="Times New Roman" w:hAnsi="Times New Roman"/>
          <w:sz w:val="24"/>
        </w:rPr>
      </w:pPr>
    </w:p>
    <w:p>
      <w:pPr>
        <w:pStyle w:val="ListeParagraf"/>
        <w:numPr>
          <w:ilvl w:val="1"/>
          <w:numId w:val="6"/>
        </w:numPr>
        <w:ind w:hanging="650"/>
        <w:rPr>
          <w:rStyle w:val="Gl"/>
          <w:rFonts w:ascii="Times New Roman" w:hAnsi="Times New Roman"/>
          <w:sz w:val="24"/>
        </w:rPr>
      </w:pPr>
      <w:r>
        <w:rPr>
          <w:rStyle w:val="Gl"/>
          <w:rFonts w:ascii="Times New Roman" w:hAnsi="Times New Roman"/>
          <w:sz w:val="24"/>
        </w:rPr>
        <w:t>Dış Kaynaklı Dokümanlar</w:t>
      </w:r>
    </w:p>
    <w:p>
      <w:pPr>
        <w:pStyle w:val="ListeParagraf"/>
        <w:numPr>
          <w:ilvl w:val="0"/>
          <w:numId w:val="15"/>
        </w:numPr>
        <w:rPr>
          <w:rFonts w:ascii="Times New Roman" w:eastAsia="Times New Roman" w:hAnsi="Times New Roman"/>
          <w:color w:val="000000"/>
          <w:sz w:val="24"/>
          <w:szCs w:val="24"/>
        </w:rPr>
      </w:pPr>
      <w:r>
        <w:rPr>
          <w:rFonts w:ascii="Times New Roman" w:eastAsia="Times New Roman" w:hAnsi="Times New Roman"/>
          <w:color w:val="000000"/>
          <w:sz w:val="24"/>
          <w:szCs w:val="24"/>
        </w:rPr>
        <w:t>TS EN ISO 9001:2015 (</w:t>
      </w:r>
      <w:proofErr w:type="gramStart"/>
      <w:r>
        <w:rPr>
          <w:rFonts w:ascii="Times New Roman" w:eastAsia="Times New Roman" w:hAnsi="Times New Roman"/>
          <w:color w:val="000000"/>
          <w:sz w:val="24"/>
          <w:szCs w:val="24"/>
        </w:rPr>
        <w:t>BÜ.DKD</w:t>
      </w:r>
      <w:proofErr w:type="gramEnd"/>
      <w:r>
        <w:rPr>
          <w:rFonts w:ascii="Times New Roman" w:eastAsia="Times New Roman" w:hAnsi="Times New Roman"/>
          <w:color w:val="000000"/>
          <w:sz w:val="24"/>
          <w:szCs w:val="24"/>
        </w:rPr>
        <w:t>.08)</w:t>
      </w:r>
    </w:p>
    <w:p>
      <w:pPr>
        <w:pStyle w:val="ListeParagraf"/>
        <w:numPr>
          <w:ilvl w:val="1"/>
          <w:numId w:val="15"/>
        </w:numPr>
        <w:tabs>
          <w:tab w:val="clear" w:pos="1440"/>
          <w:tab w:val="num" w:pos="993"/>
        </w:tabs>
        <w:ind w:left="993" w:hanging="284"/>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6.1 (Risk ve Fırsatları Belirleme Faaliyetleri), </w:t>
      </w:r>
    </w:p>
    <w:p>
      <w:pPr>
        <w:pStyle w:val="ListeParagraf"/>
        <w:numPr>
          <w:ilvl w:val="1"/>
          <w:numId w:val="15"/>
        </w:numPr>
        <w:tabs>
          <w:tab w:val="clear" w:pos="1440"/>
          <w:tab w:val="num" w:pos="993"/>
        </w:tabs>
        <w:ind w:left="993" w:hanging="284"/>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10.2 (Uygunsuzluk ve Düzeltici Faaliyet), </w:t>
      </w:r>
    </w:p>
    <w:p>
      <w:pPr>
        <w:pStyle w:val="ListeParagraf"/>
        <w:numPr>
          <w:ilvl w:val="1"/>
          <w:numId w:val="15"/>
        </w:numPr>
        <w:tabs>
          <w:tab w:val="clear" w:pos="1440"/>
          <w:tab w:val="num" w:pos="993"/>
        </w:tabs>
        <w:ind w:left="993" w:hanging="284"/>
        <w:rPr>
          <w:rFonts w:ascii="Times New Roman" w:eastAsia="Times New Roman" w:hAnsi="Times New Roman"/>
          <w:color w:val="000000"/>
          <w:sz w:val="24"/>
          <w:szCs w:val="24"/>
        </w:rPr>
      </w:pPr>
      <w:r>
        <w:rPr>
          <w:rFonts w:ascii="Times New Roman" w:eastAsia="Times New Roman" w:hAnsi="Times New Roman"/>
          <w:color w:val="000000"/>
          <w:sz w:val="24"/>
          <w:szCs w:val="24"/>
        </w:rPr>
        <w:t>10.3 (Sürekli İyileştirme)</w:t>
      </w:r>
    </w:p>
    <w:p>
      <w:pPr>
        <w:rPr>
          <w:rStyle w:val="Gl"/>
          <w:rFonts w:ascii="Times New Roman" w:hAnsi="Times New Roman"/>
          <w:b w:val="0"/>
          <w:sz w:val="24"/>
        </w:rPr>
      </w:pPr>
    </w:p>
    <w:sectPr>
      <w:headerReference w:type="default" r:id="rId9"/>
      <w:footerReference w:type="default" r:id="rId10"/>
      <w:pgSz w:w="11906" w:h="16838"/>
      <w:pgMar w:top="1417" w:right="1417" w:bottom="1417" w:left="1417" w:header="283" w:footer="283" w:gutter="0"/>
      <w:pgNumType w:start="1"/>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9782" w:type="dxa"/>
      <w:tblInd w:w="-176" w:type="dxa"/>
      <w:tblLook w:val="04A0" w:firstRow="1" w:lastRow="0" w:firstColumn="1" w:lastColumn="0" w:noHBand="0" w:noVBand="1"/>
    </w:tblPr>
    <w:tblGrid>
      <w:gridCol w:w="3196"/>
      <w:gridCol w:w="3021"/>
      <w:gridCol w:w="3565"/>
    </w:tblGrid>
    <w:tr>
      <w:trPr>
        <w:trHeight w:val="393"/>
      </w:trPr>
      <w:tc>
        <w:tcPr>
          <w:tcW w:w="3196" w:type="dxa"/>
        </w:tcPr>
        <w:p>
          <w:pPr>
            <w:tabs>
              <w:tab w:val="center" w:pos="4536"/>
              <w:tab w:val="right" w:pos="9072"/>
            </w:tabs>
            <w:jc w:val="center"/>
            <w:rPr>
              <w:rFonts w:ascii="Times New Roman" w:hAnsi="Times New Roman"/>
              <w:b/>
              <w:color w:val="000000"/>
            </w:rPr>
          </w:pPr>
          <w:r>
            <w:rPr>
              <w:rFonts w:ascii="Times New Roman" w:hAnsi="Times New Roman"/>
              <w:b/>
              <w:color w:val="000000"/>
            </w:rPr>
            <w:t>Hazırlayan</w:t>
          </w:r>
        </w:p>
      </w:tc>
      <w:tc>
        <w:tcPr>
          <w:tcW w:w="3021" w:type="dxa"/>
        </w:tcPr>
        <w:p>
          <w:pPr>
            <w:tabs>
              <w:tab w:val="center" w:pos="4536"/>
              <w:tab w:val="right" w:pos="9072"/>
            </w:tabs>
            <w:jc w:val="center"/>
            <w:rPr>
              <w:rFonts w:ascii="Times New Roman" w:hAnsi="Times New Roman"/>
              <w:b/>
              <w:color w:val="000000"/>
            </w:rPr>
          </w:pPr>
          <w:r>
            <w:rPr>
              <w:rFonts w:ascii="Times New Roman" w:hAnsi="Times New Roman"/>
              <w:b/>
              <w:color w:val="000000"/>
            </w:rPr>
            <w:t>Kontrol Eden</w:t>
          </w:r>
        </w:p>
      </w:tc>
      <w:tc>
        <w:tcPr>
          <w:tcW w:w="3565" w:type="dxa"/>
        </w:tcPr>
        <w:p>
          <w:pPr>
            <w:tabs>
              <w:tab w:val="center" w:pos="4536"/>
              <w:tab w:val="right" w:pos="9072"/>
            </w:tabs>
            <w:jc w:val="center"/>
            <w:rPr>
              <w:rFonts w:ascii="Times New Roman" w:hAnsi="Times New Roman"/>
              <w:b/>
              <w:color w:val="000000"/>
            </w:rPr>
          </w:pPr>
          <w:r>
            <w:rPr>
              <w:rFonts w:ascii="Times New Roman" w:hAnsi="Times New Roman"/>
              <w:b/>
              <w:color w:val="000000"/>
            </w:rPr>
            <w:t>Onaylayan</w:t>
          </w:r>
        </w:p>
      </w:tc>
    </w:tr>
    <w:tr>
      <w:trPr>
        <w:trHeight w:val="741"/>
      </w:trPr>
      <w:tc>
        <w:tcPr>
          <w:tcW w:w="3196" w:type="dxa"/>
        </w:tcPr>
        <w:p>
          <w:pPr>
            <w:tabs>
              <w:tab w:val="center" w:pos="4536"/>
              <w:tab w:val="right" w:pos="9072"/>
            </w:tabs>
            <w:jc w:val="center"/>
            <w:rPr>
              <w:rFonts w:ascii="Times New Roman" w:hAnsi="Times New Roman"/>
              <w:b/>
              <w:color w:val="000000"/>
            </w:rPr>
          </w:pPr>
        </w:p>
        <w:p>
          <w:pPr>
            <w:tabs>
              <w:tab w:val="center" w:pos="4536"/>
              <w:tab w:val="right" w:pos="9072"/>
            </w:tabs>
            <w:jc w:val="center"/>
            <w:rPr>
              <w:rFonts w:ascii="Times New Roman" w:hAnsi="Times New Roman"/>
              <w:b/>
              <w:color w:val="000000"/>
            </w:rPr>
          </w:pPr>
        </w:p>
        <w:p>
          <w:pPr>
            <w:tabs>
              <w:tab w:val="center" w:pos="4536"/>
              <w:tab w:val="right" w:pos="9072"/>
            </w:tabs>
            <w:jc w:val="center"/>
            <w:rPr>
              <w:rFonts w:ascii="Times New Roman" w:hAnsi="Times New Roman"/>
              <w:b/>
              <w:color w:val="000000"/>
            </w:rPr>
          </w:pPr>
        </w:p>
      </w:tc>
      <w:tc>
        <w:tcPr>
          <w:tcW w:w="3021" w:type="dxa"/>
        </w:tcPr>
        <w:p>
          <w:pPr>
            <w:tabs>
              <w:tab w:val="center" w:pos="4536"/>
              <w:tab w:val="right" w:pos="9072"/>
            </w:tabs>
            <w:jc w:val="center"/>
            <w:rPr>
              <w:rFonts w:ascii="Times New Roman" w:hAnsi="Times New Roman"/>
              <w:b/>
              <w:color w:val="000000"/>
            </w:rPr>
          </w:pPr>
        </w:p>
      </w:tc>
      <w:tc>
        <w:tcPr>
          <w:tcW w:w="3565" w:type="dxa"/>
        </w:tcPr>
        <w:p>
          <w:pPr>
            <w:tabs>
              <w:tab w:val="center" w:pos="4536"/>
              <w:tab w:val="right" w:pos="9072"/>
            </w:tabs>
            <w:jc w:val="center"/>
            <w:rPr>
              <w:rFonts w:ascii="Times New Roman" w:hAnsi="Times New Roman"/>
              <w:b/>
              <w:color w:val="000000"/>
            </w:rPr>
          </w:pPr>
        </w:p>
      </w:tc>
    </w:tr>
  </w:tbl>
  <w:p>
    <w:pPr>
      <w:widowControl w:val="0"/>
      <w:pBdr>
        <w:top w:val="nil"/>
        <w:left w:val="nil"/>
        <w:bottom w:val="nil"/>
        <w:right w:val="nil"/>
        <w:between w:val="nil"/>
      </w:pBdr>
      <w:spacing w:after="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widowControl w:val="0"/>
      <w:pBdr>
        <w:top w:val="nil"/>
        <w:left w:val="nil"/>
        <w:bottom w:val="nil"/>
        <w:right w:val="nil"/>
        <w:between w:val="nil"/>
      </w:pBdr>
      <w:spacing w:after="0"/>
      <w:rPr>
        <w:rFonts w:ascii="Times New Roman" w:eastAsia="Times New Roman" w:hAnsi="Times New Roman"/>
        <w:sz w:val="24"/>
        <w:szCs w:val="24"/>
      </w:rPr>
    </w:pPr>
  </w:p>
  <w:p>
    <w:pPr>
      <w:widowControl w:val="0"/>
      <w:pBdr>
        <w:top w:val="nil"/>
        <w:left w:val="nil"/>
        <w:bottom w:val="nil"/>
        <w:right w:val="nil"/>
        <w:between w:val="nil"/>
      </w:pBdr>
      <w:spacing w:after="0"/>
      <w:rPr>
        <w:rFonts w:ascii="Times New Roman" w:eastAsia="Times New Roman" w:hAnsi="Times New Roman"/>
        <w:sz w:val="24"/>
        <w:szCs w:val="24"/>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529"/>
      <w:gridCol w:w="1417"/>
      <w:gridCol w:w="1418"/>
    </w:tblGrid>
    <w:tr>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pPr>
            <w:tabs>
              <w:tab w:val="center" w:pos="4536"/>
              <w:tab w:val="right" w:pos="9072"/>
            </w:tabs>
            <w:spacing w:after="0"/>
          </w:pPr>
          <w:r>
            <w:rPr>
              <w:noProof/>
            </w:rPr>
            <w:drawing>
              <wp:inline distT="0" distB="0" distL="0" distR="0">
                <wp:extent cx="647700" cy="622300"/>
                <wp:effectExtent l="19050" t="0" r="0" b="0"/>
                <wp:docPr id="1"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529" w:type="dxa"/>
          <w:vMerge w:val="restart"/>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jc w:val="center"/>
            <w:rPr>
              <w:rFonts w:ascii="Arial" w:eastAsia="Arial" w:hAnsi="Arial" w:cs="Arial"/>
              <w:color w:val="000000"/>
            </w:rPr>
          </w:pPr>
        </w:p>
        <w:p>
          <w:pPr>
            <w:tabs>
              <w:tab w:val="center" w:pos="4536"/>
              <w:tab w:val="right" w:pos="9072"/>
            </w:tabs>
            <w:spacing w:after="0"/>
            <w:jc w:val="center"/>
            <w:rPr>
              <w:rFonts w:ascii="Times New Roman" w:eastAsia="Arial" w:hAnsi="Times New Roman"/>
              <w:b/>
              <w:color w:val="000000"/>
              <w:sz w:val="28"/>
              <w:szCs w:val="28"/>
            </w:rPr>
          </w:pPr>
          <w:r>
            <w:rPr>
              <w:rFonts w:ascii="Times New Roman" w:eastAsia="Arial" w:hAnsi="Times New Roman"/>
              <w:b/>
              <w:sz w:val="28"/>
              <w:szCs w:val="28"/>
            </w:rPr>
            <w:t>DÜZELTİCİ FAALİYETLER PROSEDÜRÜ</w:t>
          </w:r>
          <w:r>
            <w:rPr>
              <w:rFonts w:ascii="Times New Roman" w:eastAsia="Arial" w:hAnsi="Times New Roman"/>
              <w:b/>
              <w:color w:val="000000"/>
              <w:sz w:val="28"/>
              <w:szCs w:val="28"/>
            </w:rPr>
            <w:t xml:space="preserve"> </w:t>
          </w:r>
        </w:p>
      </w:tc>
      <w:tc>
        <w:tcPr>
          <w:tcW w:w="1417"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418"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proofErr w:type="gramStart"/>
          <w:r>
            <w:rPr>
              <w:rFonts w:ascii="Times New Roman" w:eastAsia="Arial" w:hAnsi="Times New Roman"/>
              <w:color w:val="000000"/>
              <w:sz w:val="18"/>
              <w:szCs w:val="18"/>
            </w:rPr>
            <w:t>BÜ.PRSD</w:t>
          </w:r>
          <w:proofErr w:type="gramEnd"/>
          <w:r>
            <w:rPr>
              <w:rFonts w:ascii="Times New Roman" w:eastAsia="Arial" w:hAnsi="Times New Roman"/>
              <w:color w:val="000000"/>
              <w:sz w:val="18"/>
              <w:szCs w:val="18"/>
            </w:rPr>
            <w:t>.05</w:t>
          </w:r>
        </w:p>
      </w:tc>
    </w:tr>
    <w:tr>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418"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01.01.2024</w:t>
          </w:r>
        </w:p>
      </w:tc>
    </w:tr>
    <w:tr>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418"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11.11.2024</w:t>
          </w:r>
        </w:p>
      </w:tc>
    </w:tr>
    <w:tr>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418"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w:t>
          </w:r>
        </w:p>
      </w:tc>
    </w:tr>
    <w:tr>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418"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sz w:val="18"/>
              <w:szCs w:val="18"/>
            </w:rPr>
            <w:instrText>PAGE</w:instrText>
          </w:r>
          <w:r>
            <w:rPr>
              <w:rFonts w:ascii="Times New Roman" w:eastAsia="Arial" w:hAnsi="Times New Roman"/>
              <w:sz w:val="18"/>
              <w:szCs w:val="18"/>
            </w:rPr>
            <w:fldChar w:fldCharType="separate"/>
          </w:r>
          <w:r>
            <w:rPr>
              <w:rFonts w:ascii="Times New Roman" w:eastAsia="Arial" w:hAnsi="Times New Roman"/>
              <w:noProof/>
              <w:sz w:val="18"/>
              <w:szCs w:val="18"/>
            </w:rPr>
            <w:t>3</w:t>
          </w:r>
          <w:r>
            <w:rPr>
              <w:rFonts w:ascii="Times New Roman" w:eastAsia="Arial" w:hAnsi="Times New Roman"/>
              <w:sz w:val="18"/>
              <w:szCs w:val="18"/>
            </w:rPr>
            <w:fldChar w:fldCharType="end"/>
          </w:r>
          <w:r>
            <w:rPr>
              <w:rFonts w:ascii="Times New Roman" w:eastAsia="Arial" w:hAnsi="Times New Roman"/>
              <w:sz w:val="18"/>
              <w:szCs w:val="18"/>
            </w:rPr>
            <w:t xml:space="preserve"> / </w:t>
          </w:r>
          <w:r>
            <w:rPr>
              <w:rFonts w:ascii="Times New Roman" w:eastAsia="Arial" w:hAnsi="Times New Roman"/>
              <w:sz w:val="18"/>
              <w:szCs w:val="18"/>
            </w:rPr>
            <w:fldChar w:fldCharType="begin"/>
          </w:r>
          <w:r>
            <w:rPr>
              <w:rFonts w:ascii="Times New Roman" w:eastAsia="Arial" w:hAnsi="Times New Roman"/>
              <w:sz w:val="18"/>
              <w:szCs w:val="18"/>
            </w:rPr>
            <w:instrText>NUMPAGES</w:instrText>
          </w:r>
          <w:r>
            <w:rPr>
              <w:rFonts w:ascii="Times New Roman" w:eastAsia="Arial" w:hAnsi="Times New Roman"/>
              <w:sz w:val="18"/>
              <w:szCs w:val="18"/>
            </w:rPr>
            <w:fldChar w:fldCharType="separate"/>
          </w:r>
          <w:r>
            <w:rPr>
              <w:rFonts w:ascii="Times New Roman" w:eastAsia="Arial" w:hAnsi="Times New Roman"/>
              <w:noProof/>
              <w:sz w:val="18"/>
              <w:szCs w:val="18"/>
            </w:rPr>
            <w:t>3</w:t>
          </w:r>
          <w:r>
            <w:rPr>
              <w:rFonts w:ascii="Times New Roman" w:eastAsia="Arial" w:hAnsi="Times New Roman"/>
              <w:sz w:val="18"/>
              <w:szCs w:val="18"/>
            </w:rPr>
            <w:fldChar w:fldCharType="end"/>
          </w:r>
        </w:p>
      </w:tc>
    </w:tr>
  </w:tbl>
  <w:p>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24FCA"/>
    <w:multiLevelType w:val="hybridMultilevel"/>
    <w:tmpl w:val="5F3C030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6FA635A"/>
    <w:multiLevelType w:val="hybridMultilevel"/>
    <w:tmpl w:val="84D41B0E"/>
    <w:lvl w:ilvl="0" w:tplc="0A5260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D2C7284"/>
    <w:multiLevelType w:val="multilevel"/>
    <w:tmpl w:val="27F8BA9C"/>
    <w:lvl w:ilvl="0">
      <w:start w:val="1"/>
      <w:numFmt w:val="bullet"/>
      <w:lvlText w:val=""/>
      <w:lvlJc w:val="left"/>
      <w:pPr>
        <w:tabs>
          <w:tab w:val="num" w:pos="1637"/>
        </w:tabs>
        <w:ind w:left="1637"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F46958"/>
    <w:multiLevelType w:val="multilevel"/>
    <w:tmpl w:val="5FF002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DF65B8C"/>
    <w:multiLevelType w:val="multilevel"/>
    <w:tmpl w:val="9E8855F4"/>
    <w:lvl w:ilvl="0">
      <w:start w:val="1"/>
      <w:numFmt w:val="decimal"/>
      <w:lvlText w:val="%1."/>
      <w:lvlJc w:val="left"/>
      <w:pPr>
        <w:ind w:left="360" w:hanging="360"/>
      </w:pPr>
    </w:lvl>
    <w:lvl w:ilvl="1">
      <w:start w:val="1"/>
      <w:numFmt w:val="decimal"/>
      <w:lvlText w:val="%1.%2."/>
      <w:lvlJc w:val="left"/>
      <w:pPr>
        <w:ind w:left="79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F57248A"/>
    <w:multiLevelType w:val="multilevel"/>
    <w:tmpl w:val="E1F65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EF632D"/>
    <w:multiLevelType w:val="multilevel"/>
    <w:tmpl w:val="94D66A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E2B7D1A"/>
    <w:multiLevelType w:val="hybridMultilevel"/>
    <w:tmpl w:val="78B2BD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04B08CF"/>
    <w:multiLevelType w:val="multilevel"/>
    <w:tmpl w:val="346CA1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2E6552"/>
    <w:multiLevelType w:val="hybridMultilevel"/>
    <w:tmpl w:val="9E86EE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43C80436"/>
    <w:multiLevelType w:val="multilevel"/>
    <w:tmpl w:val="8DB60C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8C159DF"/>
    <w:multiLevelType w:val="multilevel"/>
    <w:tmpl w:val="6BE8FB72"/>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nsid w:val="49743517"/>
    <w:multiLevelType w:val="hybridMultilevel"/>
    <w:tmpl w:val="E766B9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6BB182D"/>
    <w:multiLevelType w:val="hybridMultilevel"/>
    <w:tmpl w:val="4A12EBC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67A31B50"/>
    <w:multiLevelType w:val="multilevel"/>
    <w:tmpl w:val="13BA11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nsid w:val="6B9913B1"/>
    <w:multiLevelType w:val="hybridMultilevel"/>
    <w:tmpl w:val="E67848EA"/>
    <w:lvl w:ilvl="0" w:tplc="9F4CB4BA">
      <w:start w:val="1"/>
      <w:numFmt w:val="decimal"/>
      <w:lvlText w:val="%1."/>
      <w:lvlJc w:val="left"/>
      <w:pPr>
        <w:ind w:left="644" w:hanging="360"/>
      </w:pPr>
      <w:rPr>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6">
    <w:nsid w:val="6EB7328C"/>
    <w:multiLevelType w:val="multilevel"/>
    <w:tmpl w:val="B260C0F2"/>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72352E41"/>
    <w:multiLevelType w:val="hybridMultilevel"/>
    <w:tmpl w:val="6E1823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761842EE"/>
    <w:multiLevelType w:val="hybridMultilevel"/>
    <w:tmpl w:val="C63C63E2"/>
    <w:lvl w:ilvl="0" w:tplc="0A5260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78B46184"/>
    <w:multiLevelType w:val="multilevel"/>
    <w:tmpl w:val="86D2CC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nsid w:val="7E584E49"/>
    <w:multiLevelType w:val="hybridMultilevel"/>
    <w:tmpl w:val="0728D85E"/>
    <w:lvl w:ilvl="0" w:tplc="700CEA5C">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14"/>
  </w:num>
  <w:num w:numId="4">
    <w:abstractNumId w:val="9"/>
  </w:num>
  <w:num w:numId="5">
    <w:abstractNumId w:val="17"/>
  </w:num>
  <w:num w:numId="6">
    <w:abstractNumId w:val="4"/>
  </w:num>
  <w:num w:numId="7">
    <w:abstractNumId w:val="5"/>
  </w:num>
  <w:num w:numId="8">
    <w:abstractNumId w:val="2"/>
  </w:num>
  <w:num w:numId="9">
    <w:abstractNumId w:val="10"/>
    <w:lvlOverride w:ilvl="0">
      <w:lvl w:ilvl="0">
        <w:numFmt w:val="decimal"/>
        <w:lvlText w:val="%1."/>
        <w:lvlJc w:val="left"/>
      </w:lvl>
    </w:lvlOverride>
  </w:num>
  <w:num w:numId="10">
    <w:abstractNumId w:val="10"/>
    <w:lvlOverride w:ilvl="0">
      <w:lvl w:ilvl="0">
        <w:numFmt w:val="decimal"/>
        <w:lvlText w:val="%1."/>
        <w:lvlJc w:val="left"/>
      </w:lvl>
    </w:lvlOverride>
  </w:num>
  <w:num w:numId="11">
    <w:abstractNumId w:val="10"/>
    <w:lvlOverride w:ilvl="0">
      <w:lvl w:ilvl="0">
        <w:numFmt w:val="decimal"/>
        <w:lvlText w:val="%1."/>
        <w:lvlJc w:val="left"/>
      </w:lvl>
    </w:lvlOverride>
  </w:num>
  <w:num w:numId="12">
    <w:abstractNumId w:val="10"/>
    <w:lvlOverride w:ilvl="0">
      <w:lvl w:ilvl="0">
        <w:numFmt w:val="decimal"/>
        <w:lvlText w:val="%1."/>
        <w:lvlJc w:val="left"/>
      </w:lvl>
    </w:lvlOverride>
  </w:num>
  <w:num w:numId="13">
    <w:abstractNumId w:val="10"/>
    <w:lvlOverride w:ilvl="0">
      <w:lvl w:ilvl="0">
        <w:numFmt w:val="decimal"/>
        <w:lvlText w:val="%1."/>
        <w:lvlJc w:val="left"/>
      </w:lvl>
    </w:lvlOverride>
  </w:num>
  <w:num w:numId="14">
    <w:abstractNumId w:val="7"/>
  </w:num>
  <w:num w:numId="15">
    <w:abstractNumId w:val="8"/>
  </w:num>
  <w:num w:numId="16">
    <w:abstractNumId w:val="12"/>
  </w:num>
  <w:num w:numId="17">
    <w:abstractNumId w:val="0"/>
  </w:num>
  <w:num w:numId="18">
    <w:abstractNumId w:val="15"/>
  </w:num>
  <w:num w:numId="19">
    <w:abstractNumId w:val="20"/>
  </w:num>
  <w:num w:numId="20">
    <w:abstractNumId w:val="18"/>
  </w:num>
  <w:num w:numId="21">
    <w:abstractNumId w:val="13"/>
  </w:num>
  <w:num w:numId="22">
    <w:abstractNumId w:val="1"/>
  </w:num>
  <w:num w:numId="23">
    <w:abstractNumId w:val="11"/>
  </w:num>
  <w:num w:numId="24">
    <w:abstractNumId w:val="6"/>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7CD273E-84A3-49F6-B1E7-04304F2D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000FF"/>
      <w:u w:val="single"/>
    </w:rPr>
  </w:style>
  <w:style w:type="paragraph" w:styleId="GvdeMetni">
    <w:name w:val="Body Text"/>
    <w:basedOn w:val="Normal"/>
    <w:link w:val="GvdeMetniChar"/>
    <w:uiPriority w:val="99"/>
    <w:semiHidden/>
    <w:unhideWhenUsed/>
    <w:pPr>
      <w:spacing w:after="120"/>
    </w:pPr>
  </w:style>
  <w:style w:type="character" w:customStyle="1" w:styleId="GvdeMetniChar">
    <w:name w:val="Gövde Metni Char"/>
    <w:basedOn w:val="VarsaylanParagrafYazTipi"/>
    <w:link w:val="GvdeMetni"/>
    <w:uiPriority w:val="99"/>
    <w:semiHidden/>
    <w:rPr>
      <w:rFonts w:ascii="Calibri" w:eastAsia="Calibri" w:hAnsi="Calibri" w:cs="Times New Roman"/>
    </w:rPr>
  </w:style>
  <w:style w:type="paragraph" w:styleId="GvdeMetniGirintisi">
    <w:name w:val="Body Text Indent"/>
    <w:basedOn w:val="Normal"/>
    <w:link w:val="GvdeMetniGirintisiChar"/>
    <w:uiPriority w:val="99"/>
    <w:semiHidden/>
    <w:unhideWhenUsed/>
    <w:pPr>
      <w:spacing w:after="120"/>
      <w:ind w:left="283"/>
    </w:pPr>
  </w:style>
  <w:style w:type="character" w:customStyle="1" w:styleId="GvdeMetniGirintisiChar">
    <w:name w:val="Gövde Metni Girintisi Char"/>
    <w:basedOn w:val="VarsaylanParagrafYazTipi"/>
    <w:link w:val="GvdeMetniGirintisi"/>
    <w:uiPriority w:val="99"/>
    <w:semiHidden/>
    <w:rPr>
      <w:rFonts w:ascii="Calibri" w:eastAsia="Calibri" w:hAnsi="Calibri" w:cs="Times New Roman"/>
    </w:r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bilgi Char"/>
    <w:basedOn w:val="VarsaylanParagrafYazTipi"/>
    <w:link w:val="stbilgi"/>
    <w:uiPriority w:val="99"/>
    <w:rPr>
      <w:rFonts w:ascii="Calibri" w:eastAsia="Calibri" w:hAnsi="Calibri" w:cs="Times New Roman"/>
    </w:rPr>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bilgi Char"/>
    <w:basedOn w:val="VarsaylanParagrafYazTipi"/>
    <w:link w:val="Altbilgi"/>
    <w:uiPriority w:val="99"/>
    <w:rPr>
      <w:rFonts w:ascii="Calibri" w:eastAsia="Calibri" w:hAnsi="Calibri" w:cs="Times New Roman"/>
    </w:rPr>
  </w:style>
  <w:style w:type="table" w:styleId="TabloKlavuzu">
    <w:name w:val="Table Grid"/>
    <w:basedOn w:val="NormalTablo"/>
    <w:uiPriority w:val="39"/>
    <w:pPr>
      <w:spacing w:after="0" w:line="240" w:lineRule="auto"/>
    </w:pPr>
    <w:rPr>
      <w:color w:val="595959" w:themeColor="text1" w:themeTint="A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
    <w:name w:val="Tablo Kılavuzu1"/>
    <w:basedOn w:val="NormalTablo"/>
    <w:next w:val="TabloKlavuzu"/>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eastAsia="Calibri" w:hAnsi="Segoe UI" w:cs="Segoe UI"/>
      <w:sz w:val="18"/>
      <w:szCs w:val="18"/>
    </w:rPr>
  </w:style>
  <w:style w:type="character" w:styleId="Gl">
    <w:name w:val="Strong"/>
    <w:basedOn w:val="VarsaylanParagrafYazTipi"/>
    <w:uiPriority w:val="22"/>
    <w:qFormat/>
    <w:rPr>
      <w:b/>
      <w:bCs/>
    </w:rPr>
  </w:style>
  <w:style w:type="table" w:customStyle="1" w:styleId="TableGrid">
    <w:name w:val="TableGrid"/>
    <w:pPr>
      <w:spacing w:after="0" w:line="240" w:lineRule="auto"/>
    </w:pPr>
    <w:rPr>
      <w:rFonts w:eastAsiaTheme="minorEastAsia"/>
      <w:kern w:val="2"/>
    </w:rPr>
    <w:tblPr>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23" w:type="dxa"/>
        <w:bottom w:w="0" w:type="dxa"/>
        <w:right w:w="29" w:type="dxa"/>
      </w:tblCellMar>
    </w:tblPr>
  </w:style>
  <w:style w:type="table" w:customStyle="1" w:styleId="a1">
    <w:basedOn w:val="TableNormal0"/>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7">
    <w:basedOn w:val="TableNormal0"/>
    <w:pPr>
      <w:spacing w:after="0" w:line="240" w:lineRule="auto"/>
    </w:pPr>
    <w:rPr>
      <w:color w:val="595959"/>
    </w:rPr>
    <w:tblPr>
      <w:tblStyleRowBandSize w:val="1"/>
      <w:tblStyleColBandSize w:val="1"/>
      <w:tblCellMar>
        <w:top w:w="0" w:type="dxa"/>
        <w:left w:w="108" w:type="dxa"/>
        <w:bottom w:w="0" w:type="dxa"/>
        <w:right w:w="108" w:type="dxa"/>
      </w:tblCellMar>
    </w:tblPr>
  </w:style>
  <w:style w:type="table" w:customStyle="1" w:styleId="a8">
    <w:basedOn w:val="TableNormal0"/>
    <w:pPr>
      <w:spacing w:after="0" w:line="240" w:lineRule="auto"/>
    </w:pPr>
    <w:rPr>
      <w:color w:val="595959"/>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2O4Pev77fyKP4gDv9VXqqtrxg==">CgMxLjAaJQoBMBIgCh4IB0IaCg9UaW1lcyBOZXcgUm9tYW4SB0d1bmdzdWgyCGguZ2pkZ3hzMgloLjMwajB6bGw4AHIhMXBzX1FRcGoxZWs2VThGMk5uRUZyZEplM0ExclE4TWtt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1D5A5CA-120C-42BB-8E2E-6650E9A1A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790</Words>
  <Characters>4504</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 Kalite ve Akreditasyon Koordinatörlüğü</dc:title>
  <dc:creator>DİLEK YALÇIN</dc:creator>
  <cp:lastModifiedBy>Microsoft hesabı</cp:lastModifiedBy>
  <cp:revision>10</cp:revision>
  <cp:lastPrinted>2023-06-22T06:38:00Z</cp:lastPrinted>
  <dcterms:created xsi:type="dcterms:W3CDTF">2024-10-21T12:05:00Z</dcterms:created>
  <dcterms:modified xsi:type="dcterms:W3CDTF">2026-10-28T11:24:00Z</dcterms:modified>
</cp:coreProperties>
</file>