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7"/>
        <w:gridCol w:w="7938"/>
      </w:tblGrid>
      <w:tr w:rsidR="004D06FE" w:rsidTr="00DC2077">
        <w:tc>
          <w:tcPr>
            <w:tcW w:w="2127" w:type="dxa"/>
            <w:shd w:val="clear" w:color="auto" w:fill="D71016"/>
          </w:tcPr>
          <w:p w:rsidR="004D06FE" w:rsidRDefault="00773F42">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Birimi</w:t>
            </w:r>
          </w:p>
        </w:tc>
        <w:tc>
          <w:tcPr>
            <w:tcW w:w="7938" w:type="dxa"/>
          </w:tcPr>
          <w:p w:rsidR="004D06FE" w:rsidRDefault="00773F42">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Rektörlük Makamı</w:t>
            </w:r>
          </w:p>
        </w:tc>
      </w:tr>
      <w:tr w:rsidR="004D06FE" w:rsidTr="00DC2077">
        <w:tc>
          <w:tcPr>
            <w:tcW w:w="2127" w:type="dxa"/>
            <w:shd w:val="clear" w:color="auto" w:fill="D71016"/>
          </w:tcPr>
          <w:p w:rsidR="004D06FE" w:rsidRDefault="00773F42">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Görev Unvanı</w:t>
            </w:r>
          </w:p>
        </w:tc>
        <w:tc>
          <w:tcPr>
            <w:tcW w:w="7938" w:type="dxa"/>
          </w:tcPr>
          <w:p w:rsidR="004D06FE" w:rsidRDefault="00773F42">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w:t>
            </w:r>
          </w:p>
        </w:tc>
      </w:tr>
      <w:tr w:rsidR="004D06FE" w:rsidTr="00DC2077">
        <w:tc>
          <w:tcPr>
            <w:tcW w:w="2127" w:type="dxa"/>
            <w:shd w:val="clear" w:color="auto" w:fill="D71016"/>
          </w:tcPr>
          <w:p w:rsidR="004D06FE" w:rsidRDefault="00773F42">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Üst Yönetici</w:t>
            </w:r>
          </w:p>
        </w:tc>
        <w:tc>
          <w:tcPr>
            <w:tcW w:w="7938" w:type="dxa"/>
          </w:tcPr>
          <w:p w:rsidR="004D06FE" w:rsidRDefault="00773F42">
            <w:pPr>
              <w:pStyle w:val="AralkYok"/>
              <w:spacing w:line="276" w:lineRule="auto"/>
              <w:rPr>
                <w:rFonts w:ascii="Times New Roman" w:hAnsi="Times New Roman" w:cs="Times New Roman"/>
                <w:sz w:val="24"/>
                <w:szCs w:val="24"/>
              </w:rPr>
            </w:pPr>
            <w:r>
              <w:rPr>
                <w:rFonts w:ascii="Times New Roman" w:hAnsi="Times New Roman" w:cs="Times New Roman"/>
                <w:sz w:val="24"/>
                <w:szCs w:val="24"/>
              </w:rPr>
              <w:t>Mütevelli Heyet</w:t>
            </w:r>
          </w:p>
        </w:tc>
      </w:tr>
      <w:tr w:rsidR="004D06FE" w:rsidTr="00DC2077">
        <w:tc>
          <w:tcPr>
            <w:tcW w:w="2127" w:type="dxa"/>
            <w:shd w:val="clear" w:color="auto" w:fill="D71016"/>
          </w:tcPr>
          <w:p w:rsidR="004D06FE" w:rsidRDefault="00773F42">
            <w:pPr>
              <w:pStyle w:val="AralkYok"/>
              <w:spacing w:line="276" w:lineRule="auto"/>
              <w:rPr>
                <w:rFonts w:ascii="Times New Roman" w:hAnsi="Times New Roman" w:cs="Times New Roman"/>
                <w:b/>
                <w:color w:val="FFFFFF" w:themeColor="background1"/>
                <w:sz w:val="24"/>
                <w:szCs w:val="24"/>
              </w:rPr>
            </w:pPr>
            <w:r>
              <w:rPr>
                <w:rFonts w:ascii="Times New Roman" w:hAnsi="Times New Roman" w:cs="Times New Roman"/>
                <w:b/>
                <w:color w:val="FFFFFF" w:themeColor="background1"/>
                <w:sz w:val="24"/>
                <w:szCs w:val="24"/>
              </w:rPr>
              <w:t>Vekâlet Durumu</w:t>
            </w:r>
          </w:p>
        </w:tc>
        <w:tc>
          <w:tcPr>
            <w:tcW w:w="7938" w:type="dxa"/>
          </w:tcPr>
          <w:p w:rsidR="004D06FE" w:rsidRDefault="00773F42">
            <w:pPr>
              <w:pStyle w:val="AralkYok"/>
              <w:spacing w:line="276" w:lineRule="auto"/>
              <w:jc w:val="both"/>
              <w:rPr>
                <w:rFonts w:ascii="Times New Roman" w:hAnsi="Times New Roman" w:cs="Times New Roman"/>
                <w:sz w:val="24"/>
                <w:szCs w:val="24"/>
              </w:rPr>
            </w:pPr>
            <w:r>
              <w:rPr>
                <w:rFonts w:ascii="Times New Roman" w:hAnsi="Times New Roman" w:cs="Times New Roman"/>
                <w:sz w:val="24"/>
                <w:szCs w:val="24"/>
              </w:rPr>
              <w:t>Rektörün görevde bulunmadığı durumlarda yerine Rektör Yardımcısı vekâlet eder.</w:t>
            </w:r>
          </w:p>
        </w:tc>
      </w:tr>
    </w:tbl>
    <w:p w:rsidR="004D06FE" w:rsidRDefault="004D06FE">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4D06FE" w:rsidTr="00DC2077">
        <w:tc>
          <w:tcPr>
            <w:tcW w:w="10065" w:type="dxa"/>
            <w:shd w:val="clear" w:color="auto" w:fill="D71016"/>
          </w:tcPr>
          <w:p w:rsidR="004D06FE" w:rsidRDefault="00773F42">
            <w:pPr>
              <w:pStyle w:val="AralkYok"/>
              <w:rPr>
                <w:rFonts w:ascii="Times New Roman" w:hAnsi="Times New Roman" w:cs="Times New Roman"/>
                <w:b/>
                <w:color w:val="002060"/>
                <w:sz w:val="24"/>
                <w:szCs w:val="24"/>
                <w:lang w:eastAsia="tr-TR"/>
              </w:rPr>
            </w:pPr>
            <w:r>
              <w:rPr>
                <w:rFonts w:ascii="Times New Roman" w:hAnsi="Times New Roman" w:cs="Times New Roman"/>
                <w:b/>
                <w:color w:val="FFFFFF" w:themeColor="background1"/>
                <w:sz w:val="24"/>
                <w:szCs w:val="24"/>
              </w:rPr>
              <w:t>Görevin Tanımı</w:t>
            </w:r>
          </w:p>
        </w:tc>
      </w:tr>
      <w:tr w:rsidR="004D06FE" w:rsidTr="00DC2077">
        <w:tc>
          <w:tcPr>
            <w:tcW w:w="10065" w:type="dxa"/>
            <w:shd w:val="clear" w:color="auto" w:fill="FFFFFF" w:themeFill="background1"/>
          </w:tcPr>
          <w:p w:rsidR="004D06FE" w:rsidRDefault="00773F42">
            <w:pPr>
              <w:pStyle w:val="AralkYok"/>
              <w:spacing w:line="276" w:lineRule="auto"/>
              <w:ind w:left="22"/>
              <w:jc w:val="both"/>
              <w:rPr>
                <w:rFonts w:ascii="Times New Roman" w:hAnsi="Times New Roman" w:cs="Times New Roman"/>
              </w:rPr>
            </w:pPr>
            <w:r>
              <w:rPr>
                <w:rFonts w:ascii="Times New Roman" w:hAnsi="Times New Roman" w:cs="Times New Roman"/>
                <w:sz w:val="24"/>
                <w:szCs w:val="24"/>
              </w:rPr>
              <w:t xml:space="preserve">Başkent Üniversitesi Rektörü, üniversitenin en üst düzey yöneticisi olarak akademik ve idari birimlerin uyum içinde çalışmasını sağlar. Üniversitenin </w:t>
            </w:r>
            <w:proofErr w:type="gramStart"/>
            <w:r>
              <w:rPr>
                <w:rFonts w:ascii="Times New Roman" w:hAnsi="Times New Roman" w:cs="Times New Roman"/>
                <w:sz w:val="24"/>
                <w:szCs w:val="24"/>
              </w:rPr>
              <w:t>vizyon</w:t>
            </w:r>
            <w:proofErr w:type="gramEnd"/>
            <w:r>
              <w:rPr>
                <w:rFonts w:ascii="Times New Roman" w:hAnsi="Times New Roman" w:cs="Times New Roman"/>
                <w:sz w:val="24"/>
                <w:szCs w:val="24"/>
              </w:rPr>
              <w:t xml:space="preserve"> ve misyonuna uygun olarak eğitim-öğretim faaliyetlerinin kalitesini artırmak, bilimsel araştırmaları teşvik etmek ve üniversitenin</w:t>
            </w:r>
            <w:bookmarkStart w:id="0" w:name="_GoBack"/>
            <w:bookmarkEnd w:id="0"/>
            <w:r>
              <w:rPr>
                <w:rFonts w:ascii="Times New Roman" w:hAnsi="Times New Roman" w:cs="Times New Roman"/>
                <w:sz w:val="24"/>
                <w:szCs w:val="24"/>
              </w:rPr>
              <w:t xml:space="preserve"> mali kaynaklarını etkin bir şekilde yönetmekle sorumludur. Üniversitenin stratejik planlarının hazırlanması ve uygulanması, ulusal ve uluslararası platformlarda temsil edilmesi, akademik personelin atanması ve değerlendirilmesi, bütçe ve yatırım programlarının hazırlanması gibi görevleri üstlenir. Ayrıca, üniversitenin bilimsel, sosyal ve idari süreçlerinin gözetim ve denetimini yaparak, sürdürülebilir bir gelişim ortamı oluşturur.</w:t>
            </w:r>
            <w:r>
              <w:rPr>
                <w:rFonts w:ascii="Times New Roman" w:hAnsi="Times New Roman" w:cs="Times New Roman"/>
              </w:rPr>
              <w:t xml:space="preserve"> </w:t>
            </w:r>
          </w:p>
        </w:tc>
      </w:tr>
    </w:tbl>
    <w:p w:rsidR="004D06FE" w:rsidRDefault="004D06FE">
      <w:pPr>
        <w:pStyle w:val="AralkYok"/>
        <w:jc w:val="both"/>
        <w:rPr>
          <w:rFonts w:ascii="Times New Roman" w:hAnsi="Times New Roman" w:cs="Times New Roman"/>
          <w:lang w:eastAsia="tr-TR"/>
        </w:rPr>
      </w:pPr>
    </w:p>
    <w:tbl>
      <w:tblPr>
        <w:tblStyle w:val="TabloKlavuzuAk"/>
        <w:tblW w:w="10065"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5"/>
      </w:tblGrid>
      <w:tr w:rsidR="004D06FE" w:rsidTr="00DC2077">
        <w:tc>
          <w:tcPr>
            <w:tcW w:w="10065" w:type="dxa"/>
            <w:shd w:val="clear" w:color="auto" w:fill="D71016"/>
          </w:tcPr>
          <w:p w:rsidR="004D06FE" w:rsidRDefault="00773F42">
            <w:pPr>
              <w:pStyle w:val="AralkYok"/>
              <w:rPr>
                <w:rFonts w:ascii="Times New Roman" w:hAnsi="Times New Roman" w:cs="Times New Roman"/>
                <w:b/>
                <w:color w:val="002060"/>
                <w:sz w:val="24"/>
                <w:szCs w:val="24"/>
              </w:rPr>
            </w:pPr>
            <w:r>
              <w:rPr>
                <w:rFonts w:ascii="Times New Roman" w:hAnsi="Times New Roman" w:cs="Times New Roman"/>
                <w:b/>
                <w:color w:val="FFFFFF" w:themeColor="background1"/>
                <w:sz w:val="24"/>
                <w:szCs w:val="24"/>
              </w:rPr>
              <w:t>Görev, Yetki ve Sorumluluklar</w:t>
            </w:r>
          </w:p>
        </w:tc>
      </w:tr>
      <w:tr w:rsidR="004D06FE" w:rsidTr="00DC2077">
        <w:tc>
          <w:tcPr>
            <w:tcW w:w="10065" w:type="dxa"/>
            <w:shd w:val="clear" w:color="auto" w:fill="FFFFFF" w:themeFill="background1"/>
          </w:tcPr>
          <w:p w:rsidR="004D06FE" w:rsidRDefault="004D06FE">
            <w:pPr>
              <w:pStyle w:val="AralkYok"/>
              <w:ind w:left="742"/>
              <w:jc w:val="both"/>
              <w:rPr>
                <w:rFonts w:ascii="Times New Roman" w:hAnsi="Times New Roman" w:cs="Times New Roman"/>
              </w:rPr>
            </w:pP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 kurullarına başkanlık etmek, yükseköğretim üst kuruluşlarının kararlarını uygulamak, üniversite kurullarının önerilerini inceleyerek karara bağlamak ve üniversiteye bağlı kuruluşlar arasında düzenli çalışmayı sağlamak,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Her eğitim - öğretim yılı sonunda ve gerektiğinde üniversitenin eğitim öğretim, bilimsel araştırma ve yayım faaliyetleri hakkında Üniversitelerarası Kurula bilgi vermek,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Üniversitenin yatırım programlarını, bütçesini ve kadro ihtiyaçlarını, bağlı birimlerinin ve üniversite yönetim kurulu ile senatonun görüş ve önerilerini aldıktan sonra hazırlamak ve Yükseköğretim Kuruluna sunmak,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 xml:space="preserve">Gerekli gördüğü hallerde üniversiteyi oluşturan kuruluş ve birimlerde görevli öğretim elemanlarının ve diğer personelin görev yerlerini değiştirmek veya bunlara yeni görevler vermek, </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Üniversitenin birimleri ve her düzeydeki personeli üzerinde genel gözetim ve denetim görevini yapmak, mevzuata uygunluğu sağlamak,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 senatosu ve kurullara başkanlık ederek, bu kurulların kararlarını uygulamak ve yükseköğretim üst kuruluşlarının aldığı kararların üniversite içinde hayata geçirilmesini sağlamak,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Üniversiteye bağlı fakülteler, enstitüler, yüksekokullar ve diğer birimler arasında düzenli ve uyumlu bir çalışma ortamı oluşturmak,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 kurullarının önerilerini inceleyip karara bağlamak ve üniversitenin stratejik planlarını oluşturmak,</w:t>
            </w:r>
          </w:p>
          <w:p w:rsidR="004D06FE" w:rsidRDefault="00773F42" w:rsidP="00CA2CA0">
            <w:pPr>
              <w:pStyle w:val="AralkYok"/>
              <w:numPr>
                <w:ilvl w:val="0"/>
                <w:numId w:val="17"/>
              </w:numPr>
              <w:tabs>
                <w:tab w:val="clear" w:pos="720"/>
                <w:tab w:val="num" w:pos="454"/>
              </w:tabs>
              <w:spacing w:line="276" w:lineRule="auto"/>
              <w:ind w:left="454" w:hanging="283"/>
              <w:jc w:val="both"/>
              <w:rPr>
                <w:rFonts w:ascii="Times New Roman" w:hAnsi="Times New Roman" w:cs="Times New Roman"/>
                <w:sz w:val="24"/>
                <w:szCs w:val="24"/>
              </w:rPr>
            </w:pPr>
            <w:r>
              <w:rPr>
                <w:rFonts w:ascii="Times New Roman" w:hAnsi="Times New Roman" w:cs="Times New Roman"/>
                <w:sz w:val="24"/>
                <w:szCs w:val="24"/>
              </w:rPr>
              <w:t>Üniversitenin ulusal ve uluslararası platformlarda temsil edilmesini sağlamak, iş birliklerini geliştirmek ve üniversitenin itibarını artırmak,</w:t>
            </w:r>
          </w:p>
          <w:p w:rsidR="004D06FE" w:rsidRDefault="00773F42"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lastRenderedPageBreak/>
              <w:t>2547 Sayılı Yükseköğretim Kanunu ve yönetmeliklerle kendisine verilen diğer görevleri yerine getirmek.</w:t>
            </w:r>
          </w:p>
          <w:p w:rsidR="004D06FE" w:rsidRDefault="00773F42" w:rsidP="00CA2CA0">
            <w:pPr>
              <w:pStyle w:val="AralkYok"/>
              <w:numPr>
                <w:ilvl w:val="0"/>
                <w:numId w:val="17"/>
              </w:numPr>
              <w:tabs>
                <w:tab w:val="clear" w:pos="720"/>
                <w:tab w:val="num" w:pos="460"/>
              </w:tabs>
              <w:spacing w:line="276" w:lineRule="auto"/>
              <w:ind w:left="460" w:hanging="426"/>
              <w:jc w:val="both"/>
              <w:rPr>
                <w:rFonts w:ascii="Times New Roman" w:hAnsi="Times New Roman" w:cs="Times New Roman"/>
                <w:sz w:val="24"/>
                <w:szCs w:val="24"/>
              </w:rPr>
            </w:pPr>
            <w:r>
              <w:rPr>
                <w:rFonts w:ascii="Times New Roman" w:hAnsi="Times New Roman" w:cs="Times New Roman"/>
                <w:sz w:val="24"/>
                <w:szCs w:val="24"/>
              </w:rPr>
              <w:t>Üniversitenin ulusal ve uluslararası akreditasyon süreçlerini takip etmek ve bu süreçlerde kaliteyi sağlamak,</w:t>
            </w:r>
          </w:p>
          <w:p w:rsidR="004D06FE" w:rsidRDefault="00773F42"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t>Üniversitenin kalite politikasını oluşturmak, tüm birimlere iletilmesini ve anlaşılmasını sağlamak; bu politikanın benimsenmesi ve uygulanmasında liderlik etmek,</w:t>
            </w:r>
          </w:p>
          <w:p w:rsidR="004D06FE" w:rsidRDefault="00773F42"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t>Kalite yönetim sisteminin geliştirilmesi, uygulanması ve etkinliğinin sürekli iyileştirilmesi için gerekli kaynakları temin etmek ve bu süreci desteklemek,</w:t>
            </w:r>
          </w:p>
          <w:p w:rsidR="004D06FE" w:rsidRDefault="00773F42"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t>Yönetim adına kalite sistemini gözden geçirme toplantılarına başkanlık etmek; alınan kararların uygulanmasını ve sonuçlarının izlenmesini sağlamak,</w:t>
            </w:r>
          </w:p>
          <w:p w:rsidR="004D06FE" w:rsidRDefault="00773F42"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t>Üniversitenin akademik ve idari süreçlerinde kalite standartlarına uyumu sağlamak ve kalite kültürünün tüm birimlerde yaygınlaşmasını teşvik etmek,</w:t>
            </w:r>
          </w:p>
          <w:p w:rsidR="00413D61" w:rsidRDefault="00413D61"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sidRPr="00413D61">
              <w:rPr>
                <w:rFonts w:ascii="Times New Roman" w:hAnsi="Times New Roman" w:cs="Times New Roman"/>
                <w:sz w:val="24"/>
                <w:szCs w:val="24"/>
              </w:rPr>
              <w:t>YÖKAK akreditasyon çalışmal</w:t>
            </w:r>
            <w:r>
              <w:rPr>
                <w:rFonts w:ascii="Times New Roman" w:hAnsi="Times New Roman" w:cs="Times New Roman"/>
                <w:sz w:val="24"/>
                <w:szCs w:val="24"/>
              </w:rPr>
              <w:t>arına destek vermek,</w:t>
            </w:r>
          </w:p>
          <w:p w:rsidR="004D06FE" w:rsidRDefault="00773F42" w:rsidP="00CA2CA0">
            <w:pPr>
              <w:pStyle w:val="AralkYok"/>
              <w:numPr>
                <w:ilvl w:val="0"/>
                <w:numId w:val="17"/>
              </w:numPr>
              <w:tabs>
                <w:tab w:val="clear" w:pos="720"/>
                <w:tab w:val="num" w:pos="454"/>
              </w:tabs>
              <w:spacing w:line="276" w:lineRule="auto"/>
              <w:ind w:left="454" w:hanging="420"/>
              <w:jc w:val="both"/>
              <w:rPr>
                <w:rFonts w:ascii="Times New Roman" w:hAnsi="Times New Roman" w:cs="Times New Roman"/>
                <w:sz w:val="24"/>
                <w:szCs w:val="24"/>
              </w:rPr>
            </w:pPr>
            <w:r>
              <w:rPr>
                <w:rFonts w:ascii="Times New Roman" w:hAnsi="Times New Roman" w:cs="Times New Roman"/>
                <w:sz w:val="24"/>
                <w:szCs w:val="24"/>
              </w:rPr>
              <w:t>Kurumun iç ve dış tetkik/değerlendirme süreçlerine katılım sağlamaktır.</w:t>
            </w:r>
          </w:p>
        </w:tc>
      </w:tr>
    </w:tbl>
    <w:p w:rsidR="004D06FE" w:rsidRDefault="004D06FE">
      <w:pPr>
        <w:pStyle w:val="AralkYok"/>
        <w:rPr>
          <w:rFonts w:ascii="Times New Roman" w:hAnsi="Times New Roman" w:cs="Times New Roman"/>
        </w:rPr>
      </w:pPr>
    </w:p>
    <w:sectPr w:rsidR="004D06FE">
      <w:headerReference w:type="default" r:id="rId7"/>
      <w:footerReference w:type="default" r:id="rId8"/>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6FE" w:rsidRDefault="00773F42">
      <w:r>
        <w:separator/>
      </w:r>
    </w:p>
  </w:endnote>
  <w:endnote w:type="continuationSeparator" w:id="0">
    <w:p w:rsidR="004D06FE" w:rsidRDefault="00773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FE" w:rsidRDefault="004D06FE">
    <w:pPr>
      <w:pStyle w:val="AltBilgi"/>
    </w:pPr>
  </w:p>
  <w:tbl>
    <w:tblPr>
      <w:tblW w:w="10065" w:type="dxa"/>
      <w:tblInd w:w="-152" w:type="dxa"/>
      <w:tblBorders>
        <w:top w:val="single" w:sz="8" w:space="0" w:color="auto"/>
        <w:left w:val="single" w:sz="8" w:space="0" w:color="auto"/>
        <w:bottom w:val="single" w:sz="8" w:space="0" w:color="auto"/>
        <w:right w:val="single" w:sz="8" w:space="0" w:color="auto"/>
        <w:insideH w:val="single" w:sz="4" w:space="0" w:color="auto"/>
        <w:insideV w:val="single" w:sz="8" w:space="0" w:color="auto"/>
      </w:tblBorders>
      <w:tblCellMar>
        <w:left w:w="70" w:type="dxa"/>
        <w:right w:w="70" w:type="dxa"/>
      </w:tblCellMar>
      <w:tblLook w:val="0000" w:firstRow="0" w:lastRow="0" w:firstColumn="0" w:lastColumn="0" w:noHBand="0" w:noVBand="0"/>
    </w:tblPr>
    <w:tblGrid>
      <w:gridCol w:w="4962"/>
      <w:gridCol w:w="5103"/>
    </w:tblGrid>
    <w:tr w:rsidR="004D06FE">
      <w:trPr>
        <w:cantSplit/>
        <w:trHeight w:val="700"/>
      </w:trPr>
      <w:tc>
        <w:tcPr>
          <w:tcW w:w="4962" w:type="dxa"/>
          <w:tcBorders>
            <w:bottom w:val="single" w:sz="8" w:space="0" w:color="auto"/>
          </w:tcBorders>
          <w:vAlign w:val="center"/>
        </w:tcPr>
        <w:p w:rsidR="004D06FE" w:rsidRDefault="00773F42">
          <w:pPr>
            <w:tabs>
              <w:tab w:val="center" w:pos="4536"/>
              <w:tab w:val="right" w:pos="9072"/>
            </w:tabs>
            <w:jc w:val="center"/>
            <w:rPr>
              <w:b/>
              <w:sz w:val="22"/>
              <w:szCs w:val="22"/>
            </w:rPr>
          </w:pPr>
          <w:r>
            <w:rPr>
              <w:b/>
              <w:sz w:val="22"/>
              <w:szCs w:val="22"/>
            </w:rPr>
            <w:t>HAZIRLAYAN</w:t>
          </w:r>
        </w:p>
        <w:p w:rsidR="004D06FE" w:rsidRDefault="00773F42">
          <w:pPr>
            <w:tabs>
              <w:tab w:val="center" w:pos="4536"/>
              <w:tab w:val="right" w:pos="9072"/>
            </w:tabs>
            <w:jc w:val="center"/>
            <w:rPr>
              <w:sz w:val="22"/>
              <w:szCs w:val="22"/>
            </w:rPr>
          </w:pPr>
          <w:r>
            <w:rPr>
              <w:sz w:val="22"/>
              <w:szCs w:val="22"/>
            </w:rPr>
            <w:t>Kalite ve Akreditasyon Koordinatörlüğü</w:t>
          </w:r>
        </w:p>
        <w:p w:rsidR="004D06FE" w:rsidRDefault="004D06FE">
          <w:pPr>
            <w:tabs>
              <w:tab w:val="center" w:pos="4536"/>
              <w:tab w:val="right" w:pos="9072"/>
            </w:tabs>
            <w:jc w:val="center"/>
            <w:rPr>
              <w:sz w:val="22"/>
              <w:szCs w:val="22"/>
            </w:rPr>
          </w:pPr>
        </w:p>
        <w:p w:rsidR="004D06FE" w:rsidRDefault="004D06FE">
          <w:pPr>
            <w:tabs>
              <w:tab w:val="center" w:pos="4536"/>
              <w:tab w:val="right" w:pos="9072"/>
            </w:tabs>
            <w:jc w:val="center"/>
            <w:rPr>
              <w:sz w:val="22"/>
              <w:szCs w:val="22"/>
            </w:rPr>
          </w:pPr>
        </w:p>
        <w:p w:rsidR="004D06FE" w:rsidRDefault="004D06FE">
          <w:pPr>
            <w:tabs>
              <w:tab w:val="center" w:pos="4536"/>
              <w:tab w:val="right" w:pos="9072"/>
            </w:tabs>
            <w:jc w:val="center"/>
            <w:rPr>
              <w:sz w:val="22"/>
              <w:szCs w:val="22"/>
            </w:rPr>
          </w:pPr>
        </w:p>
      </w:tc>
      <w:tc>
        <w:tcPr>
          <w:tcW w:w="5103" w:type="dxa"/>
          <w:tcBorders>
            <w:bottom w:val="single" w:sz="8" w:space="0" w:color="auto"/>
          </w:tcBorders>
          <w:vAlign w:val="center"/>
        </w:tcPr>
        <w:p w:rsidR="004D06FE" w:rsidRDefault="00773F42">
          <w:pPr>
            <w:tabs>
              <w:tab w:val="center" w:pos="4536"/>
              <w:tab w:val="right" w:pos="9072"/>
            </w:tabs>
            <w:jc w:val="center"/>
            <w:rPr>
              <w:b/>
              <w:sz w:val="22"/>
              <w:szCs w:val="22"/>
            </w:rPr>
          </w:pPr>
          <w:r>
            <w:rPr>
              <w:b/>
              <w:sz w:val="22"/>
              <w:szCs w:val="22"/>
            </w:rPr>
            <w:t>ONAYLAYAN</w:t>
          </w:r>
        </w:p>
        <w:p w:rsidR="004D06FE" w:rsidRDefault="00773F42">
          <w:pPr>
            <w:tabs>
              <w:tab w:val="center" w:pos="4536"/>
              <w:tab w:val="right" w:pos="9072"/>
            </w:tabs>
            <w:jc w:val="center"/>
            <w:rPr>
              <w:sz w:val="22"/>
              <w:szCs w:val="22"/>
            </w:rPr>
          </w:pPr>
          <w:r>
            <w:rPr>
              <w:sz w:val="22"/>
              <w:szCs w:val="22"/>
            </w:rPr>
            <w:t>Başkent Üniversitesi Rektör Yardımcısı</w:t>
          </w:r>
        </w:p>
        <w:p w:rsidR="004D06FE" w:rsidRDefault="004D06FE">
          <w:pPr>
            <w:tabs>
              <w:tab w:val="center" w:pos="4536"/>
              <w:tab w:val="right" w:pos="9072"/>
            </w:tabs>
            <w:jc w:val="center"/>
            <w:rPr>
              <w:sz w:val="22"/>
              <w:szCs w:val="22"/>
            </w:rPr>
          </w:pPr>
        </w:p>
        <w:p w:rsidR="004D06FE" w:rsidRDefault="004D06FE">
          <w:pPr>
            <w:tabs>
              <w:tab w:val="center" w:pos="4536"/>
              <w:tab w:val="right" w:pos="9072"/>
            </w:tabs>
            <w:jc w:val="center"/>
            <w:rPr>
              <w:sz w:val="22"/>
              <w:szCs w:val="22"/>
            </w:rPr>
          </w:pPr>
        </w:p>
        <w:p w:rsidR="004D06FE" w:rsidRDefault="004D06FE">
          <w:pPr>
            <w:tabs>
              <w:tab w:val="center" w:pos="4536"/>
              <w:tab w:val="right" w:pos="9072"/>
            </w:tabs>
            <w:jc w:val="center"/>
            <w:rPr>
              <w:sz w:val="22"/>
              <w:szCs w:val="22"/>
            </w:rPr>
          </w:pPr>
        </w:p>
      </w:tc>
    </w:tr>
  </w:tbl>
  <w:p w:rsidR="004D06FE" w:rsidRDefault="004D06FE">
    <w:pPr>
      <w:tabs>
        <w:tab w:val="center" w:pos="4536"/>
        <w:tab w:val="right" w:pos="9072"/>
      </w:tabs>
    </w:pPr>
  </w:p>
  <w:p w:rsidR="004D06FE" w:rsidRDefault="004D06FE">
    <w:pPr>
      <w:pStyle w:val="AltBilgi"/>
    </w:pPr>
  </w:p>
  <w:p w:rsidR="004D06FE" w:rsidRDefault="004D06F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6FE" w:rsidRDefault="00773F42">
      <w:r>
        <w:separator/>
      </w:r>
    </w:p>
  </w:footnote>
  <w:footnote w:type="continuationSeparator" w:id="0">
    <w:p w:rsidR="004D06FE" w:rsidRDefault="00773F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04"/>
      <w:gridCol w:w="5867"/>
      <w:gridCol w:w="1447"/>
      <w:gridCol w:w="1276"/>
    </w:tblGrid>
    <w:tr w:rsidR="004D06FE">
      <w:trPr>
        <w:trHeight w:val="278"/>
      </w:trPr>
      <w:tc>
        <w:tcPr>
          <w:tcW w:w="1504" w:type="dxa"/>
          <w:vMerge w:val="restart"/>
          <w:tcBorders>
            <w:top w:val="single" w:sz="4" w:space="0" w:color="000000"/>
            <w:left w:val="single" w:sz="4" w:space="0" w:color="000000"/>
            <w:bottom w:val="single" w:sz="4" w:space="0" w:color="000000"/>
            <w:right w:val="single" w:sz="4" w:space="0" w:color="000000"/>
          </w:tcBorders>
          <w:vAlign w:val="center"/>
        </w:tcPr>
        <w:p w:rsidR="004D06FE" w:rsidRDefault="00773F42">
          <w:pPr>
            <w:tabs>
              <w:tab w:val="center" w:pos="4536"/>
              <w:tab w:val="right" w:pos="9072"/>
            </w:tabs>
            <w:spacing w:line="276" w:lineRule="auto"/>
            <w:rPr>
              <w:rFonts w:ascii="Calibri" w:eastAsia="Calibri" w:hAnsi="Calibri"/>
              <w:sz w:val="22"/>
              <w:szCs w:val="22"/>
            </w:rPr>
          </w:pPr>
          <w:r>
            <w:rPr>
              <w:rFonts w:ascii="Calibri" w:eastAsia="Calibri" w:hAnsi="Calibri"/>
              <w:noProof/>
              <w:sz w:val="22"/>
              <w:szCs w:val="22"/>
            </w:rPr>
            <w:drawing>
              <wp:inline distT="0" distB="0" distL="0" distR="0">
                <wp:extent cx="647700" cy="622300"/>
                <wp:effectExtent l="19050" t="0" r="0" b="0"/>
                <wp:docPr id="4"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867" w:type="dxa"/>
          <w:vMerge w:val="restart"/>
          <w:tcBorders>
            <w:top w:val="single" w:sz="4" w:space="0" w:color="000000"/>
            <w:left w:val="single" w:sz="4" w:space="0" w:color="000000"/>
            <w:bottom w:val="single" w:sz="4" w:space="0" w:color="000000"/>
            <w:right w:val="single" w:sz="4" w:space="0" w:color="000000"/>
          </w:tcBorders>
        </w:tcPr>
        <w:p w:rsidR="004D06FE" w:rsidRDefault="004D06FE">
          <w:pPr>
            <w:tabs>
              <w:tab w:val="center" w:pos="4536"/>
              <w:tab w:val="right" w:pos="9072"/>
            </w:tabs>
            <w:spacing w:line="276" w:lineRule="auto"/>
            <w:jc w:val="center"/>
            <w:rPr>
              <w:rFonts w:ascii="Arial" w:eastAsia="Arial" w:hAnsi="Arial" w:cs="Arial"/>
              <w:color w:val="000000"/>
              <w:sz w:val="22"/>
              <w:szCs w:val="22"/>
            </w:rPr>
          </w:pPr>
        </w:p>
        <w:p w:rsidR="004D06FE" w:rsidRDefault="00773F42">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GÖREV, YETKİ VE SORUMLULUKLAR</w:t>
          </w:r>
        </w:p>
        <w:p w:rsidR="004D06FE" w:rsidRDefault="00773F42">
          <w:pPr>
            <w:tabs>
              <w:tab w:val="center" w:pos="4536"/>
              <w:tab w:val="right" w:pos="9072"/>
            </w:tabs>
            <w:spacing w:line="276" w:lineRule="auto"/>
            <w:jc w:val="center"/>
            <w:rPr>
              <w:rFonts w:eastAsia="Arial"/>
              <w:b/>
              <w:color w:val="000000"/>
              <w:sz w:val="28"/>
              <w:szCs w:val="28"/>
            </w:rPr>
          </w:pPr>
          <w:r>
            <w:rPr>
              <w:rFonts w:eastAsia="Arial"/>
              <w:b/>
              <w:color w:val="000000"/>
              <w:sz w:val="28"/>
              <w:szCs w:val="28"/>
            </w:rPr>
            <w:t>REKTÖR</w:t>
          </w:r>
        </w:p>
      </w:tc>
      <w:tc>
        <w:tcPr>
          <w:tcW w:w="1447"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Doküman No</w:t>
          </w:r>
        </w:p>
      </w:tc>
      <w:tc>
        <w:tcPr>
          <w:tcW w:w="1276"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proofErr w:type="gramStart"/>
          <w:r>
            <w:rPr>
              <w:rFonts w:eastAsia="Arial"/>
              <w:color w:val="000000"/>
              <w:sz w:val="18"/>
              <w:szCs w:val="18"/>
            </w:rPr>
            <w:t>BÜ.GRTN</w:t>
          </w:r>
          <w:proofErr w:type="gramEnd"/>
          <w:r>
            <w:rPr>
              <w:rFonts w:eastAsia="Arial"/>
              <w:color w:val="000000"/>
              <w:sz w:val="18"/>
              <w:szCs w:val="18"/>
            </w:rPr>
            <w:t>.01</w:t>
          </w:r>
        </w:p>
      </w:tc>
    </w:tr>
    <w:tr w:rsidR="004D06FE">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Yayım Tarihi</w:t>
          </w:r>
        </w:p>
      </w:tc>
      <w:tc>
        <w:tcPr>
          <w:tcW w:w="1276" w:type="dxa"/>
          <w:tcBorders>
            <w:top w:val="single" w:sz="4" w:space="0" w:color="000000"/>
            <w:left w:val="single" w:sz="4" w:space="0" w:color="000000"/>
            <w:bottom w:val="single" w:sz="4" w:space="0" w:color="000000"/>
            <w:right w:val="single" w:sz="4" w:space="0" w:color="000000"/>
          </w:tcBorders>
        </w:tcPr>
        <w:p w:rsidR="004D06FE" w:rsidRDefault="00773F42" w:rsidP="00ED7ABB">
          <w:pPr>
            <w:tabs>
              <w:tab w:val="center" w:pos="4536"/>
              <w:tab w:val="right" w:pos="9072"/>
            </w:tabs>
            <w:spacing w:line="276" w:lineRule="auto"/>
            <w:rPr>
              <w:rFonts w:eastAsia="Arial"/>
              <w:color w:val="000000"/>
              <w:sz w:val="18"/>
              <w:szCs w:val="18"/>
            </w:rPr>
          </w:pPr>
          <w:r>
            <w:rPr>
              <w:rFonts w:eastAsia="Arial"/>
              <w:color w:val="000000"/>
              <w:sz w:val="18"/>
              <w:szCs w:val="18"/>
            </w:rPr>
            <w:t>20.0</w:t>
          </w:r>
          <w:r w:rsidR="00ED7ABB">
            <w:rPr>
              <w:rFonts w:eastAsia="Arial"/>
              <w:color w:val="000000"/>
              <w:sz w:val="18"/>
              <w:szCs w:val="18"/>
            </w:rPr>
            <w:t>9</w:t>
          </w:r>
          <w:r>
            <w:rPr>
              <w:rFonts w:eastAsia="Arial"/>
              <w:color w:val="000000"/>
              <w:sz w:val="18"/>
              <w:szCs w:val="18"/>
            </w:rPr>
            <w:t>.202</w:t>
          </w:r>
          <w:r w:rsidR="00ED7ABB">
            <w:rPr>
              <w:rFonts w:eastAsia="Arial"/>
              <w:color w:val="000000"/>
              <w:sz w:val="18"/>
              <w:szCs w:val="18"/>
            </w:rPr>
            <w:t>4</w:t>
          </w:r>
        </w:p>
      </w:tc>
    </w:tr>
    <w:tr w:rsidR="004D06FE">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Revizyon Tarihi</w:t>
          </w:r>
        </w:p>
      </w:tc>
      <w:tc>
        <w:tcPr>
          <w:tcW w:w="1276"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00.00.0000</w:t>
          </w:r>
        </w:p>
      </w:tc>
    </w:tr>
    <w:tr w:rsidR="004D06FE">
      <w:trPr>
        <w:trHeight w:val="235"/>
      </w:trPr>
      <w:tc>
        <w:tcPr>
          <w:tcW w:w="1504" w:type="dxa"/>
          <w:vMerge/>
          <w:tcBorders>
            <w:top w:val="single" w:sz="4" w:space="0" w:color="000000"/>
            <w:left w:val="single" w:sz="4" w:space="0" w:color="000000"/>
            <w:bottom w:val="single" w:sz="4" w:space="0" w:color="000000"/>
            <w:right w:val="single" w:sz="4" w:space="0" w:color="000000"/>
          </w:tcBorders>
          <w:vAlign w:val="center"/>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Revizyon No</w:t>
          </w:r>
        </w:p>
      </w:tc>
      <w:tc>
        <w:tcPr>
          <w:tcW w:w="1276"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00</w:t>
          </w:r>
        </w:p>
      </w:tc>
    </w:tr>
    <w:tr w:rsidR="004D06FE">
      <w:trPr>
        <w:trHeight w:val="291"/>
      </w:trPr>
      <w:tc>
        <w:tcPr>
          <w:tcW w:w="1504" w:type="dxa"/>
          <w:vMerge/>
          <w:tcBorders>
            <w:top w:val="single" w:sz="4" w:space="0" w:color="000000"/>
            <w:left w:val="single" w:sz="4" w:space="0" w:color="000000"/>
            <w:bottom w:val="single" w:sz="4" w:space="0" w:color="000000"/>
            <w:right w:val="single" w:sz="4" w:space="0" w:color="000000"/>
          </w:tcBorders>
          <w:vAlign w:val="center"/>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5867" w:type="dxa"/>
          <w:vMerge/>
          <w:tcBorders>
            <w:top w:val="single" w:sz="4" w:space="0" w:color="000000"/>
            <w:left w:val="single" w:sz="4" w:space="0" w:color="000000"/>
            <w:bottom w:val="single" w:sz="4" w:space="0" w:color="000000"/>
            <w:right w:val="single" w:sz="4" w:space="0" w:color="000000"/>
          </w:tcBorders>
        </w:tcPr>
        <w:p w:rsidR="004D06FE" w:rsidRDefault="004D06FE">
          <w:pPr>
            <w:widowControl w:val="0"/>
            <w:pBdr>
              <w:top w:val="nil"/>
              <w:left w:val="nil"/>
              <w:bottom w:val="nil"/>
              <w:right w:val="nil"/>
              <w:between w:val="nil"/>
            </w:pBdr>
            <w:spacing w:line="276" w:lineRule="auto"/>
            <w:rPr>
              <w:rFonts w:ascii="Arial" w:eastAsia="Arial" w:hAnsi="Arial" w:cs="Arial"/>
              <w:color w:val="000000"/>
              <w:sz w:val="20"/>
              <w:szCs w:val="20"/>
            </w:rPr>
          </w:pPr>
        </w:p>
      </w:tc>
      <w:tc>
        <w:tcPr>
          <w:tcW w:w="1447"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color w:val="000000"/>
              <w:sz w:val="18"/>
              <w:szCs w:val="18"/>
            </w:rPr>
            <w:t>Sayfa</w:t>
          </w:r>
        </w:p>
      </w:tc>
      <w:tc>
        <w:tcPr>
          <w:tcW w:w="1276" w:type="dxa"/>
          <w:tcBorders>
            <w:top w:val="single" w:sz="4" w:space="0" w:color="000000"/>
            <w:left w:val="single" w:sz="4" w:space="0" w:color="000000"/>
            <w:bottom w:val="single" w:sz="4" w:space="0" w:color="000000"/>
            <w:right w:val="single" w:sz="4" w:space="0" w:color="000000"/>
          </w:tcBorders>
        </w:tcPr>
        <w:p w:rsidR="004D06FE" w:rsidRDefault="00773F42">
          <w:pPr>
            <w:tabs>
              <w:tab w:val="center" w:pos="4536"/>
              <w:tab w:val="right" w:pos="9072"/>
            </w:tabs>
            <w:spacing w:line="276" w:lineRule="auto"/>
            <w:rPr>
              <w:rFonts w:eastAsia="Arial"/>
              <w:color w:val="000000"/>
              <w:sz w:val="18"/>
              <w:szCs w:val="18"/>
            </w:rPr>
          </w:pPr>
          <w:r>
            <w:rPr>
              <w:rFonts w:eastAsia="Arial"/>
              <w:sz w:val="18"/>
              <w:szCs w:val="18"/>
            </w:rPr>
            <w:fldChar w:fldCharType="begin"/>
          </w:r>
          <w:r>
            <w:rPr>
              <w:rFonts w:eastAsia="Arial"/>
              <w:sz w:val="18"/>
              <w:szCs w:val="18"/>
            </w:rPr>
            <w:instrText>PAGE</w:instrText>
          </w:r>
          <w:r>
            <w:rPr>
              <w:rFonts w:eastAsia="Arial"/>
              <w:sz w:val="18"/>
              <w:szCs w:val="18"/>
            </w:rPr>
            <w:fldChar w:fldCharType="separate"/>
          </w:r>
          <w:r w:rsidR="009A1D42">
            <w:rPr>
              <w:rFonts w:eastAsia="Arial"/>
              <w:noProof/>
              <w:sz w:val="18"/>
              <w:szCs w:val="18"/>
            </w:rPr>
            <w:t>1</w:t>
          </w:r>
          <w:r>
            <w:rPr>
              <w:rFonts w:eastAsia="Arial"/>
              <w:sz w:val="18"/>
              <w:szCs w:val="18"/>
            </w:rPr>
            <w:fldChar w:fldCharType="end"/>
          </w:r>
          <w:r>
            <w:rPr>
              <w:rFonts w:eastAsia="Arial"/>
              <w:sz w:val="18"/>
              <w:szCs w:val="18"/>
            </w:rPr>
            <w:t xml:space="preserve"> / </w:t>
          </w:r>
          <w:r>
            <w:rPr>
              <w:rFonts w:eastAsia="Arial"/>
              <w:sz w:val="18"/>
              <w:szCs w:val="18"/>
            </w:rPr>
            <w:fldChar w:fldCharType="begin"/>
          </w:r>
          <w:r>
            <w:rPr>
              <w:rFonts w:eastAsia="Arial"/>
              <w:sz w:val="18"/>
              <w:szCs w:val="18"/>
            </w:rPr>
            <w:instrText>NUMPAGES</w:instrText>
          </w:r>
          <w:r>
            <w:rPr>
              <w:rFonts w:eastAsia="Arial"/>
              <w:sz w:val="18"/>
              <w:szCs w:val="18"/>
            </w:rPr>
            <w:fldChar w:fldCharType="separate"/>
          </w:r>
          <w:r w:rsidR="009A1D42">
            <w:rPr>
              <w:rFonts w:eastAsia="Arial"/>
              <w:noProof/>
              <w:sz w:val="18"/>
              <w:szCs w:val="18"/>
            </w:rPr>
            <w:t>2</w:t>
          </w:r>
          <w:r>
            <w:rPr>
              <w:rFonts w:eastAsia="Arial"/>
              <w:sz w:val="18"/>
              <w:szCs w:val="18"/>
            </w:rPr>
            <w:fldChar w:fldCharType="end"/>
          </w:r>
        </w:p>
      </w:tc>
    </w:tr>
  </w:tbl>
  <w:p w:rsidR="004D06FE" w:rsidRDefault="004D06FE">
    <w:pPr>
      <w:pStyle w:val="AralkYok"/>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65700"/>
    <w:multiLevelType w:val="hybridMultilevel"/>
    <w:tmpl w:val="B2D8AE4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417585"/>
    <w:multiLevelType w:val="hybridMultilevel"/>
    <w:tmpl w:val="669E354E"/>
    <w:lvl w:ilvl="0" w:tplc="041F0001">
      <w:start w:val="1"/>
      <w:numFmt w:val="bullet"/>
      <w:lvlText w:val=""/>
      <w:lvlJc w:val="left"/>
      <w:pPr>
        <w:ind w:left="749" w:hanging="360"/>
      </w:pPr>
      <w:rPr>
        <w:rFonts w:ascii="Symbol" w:hAnsi="Symbol" w:hint="default"/>
      </w:rPr>
    </w:lvl>
    <w:lvl w:ilvl="1" w:tplc="041F0003">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abstractNum w:abstractNumId="2" w15:restartNumberingAfterBreak="0">
    <w:nsid w:val="244C3A38"/>
    <w:multiLevelType w:val="multilevel"/>
    <w:tmpl w:val="71FC60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2E66E1"/>
    <w:multiLevelType w:val="hybridMultilevel"/>
    <w:tmpl w:val="10E6C4E4"/>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4" w15:restartNumberingAfterBreak="0">
    <w:nsid w:val="324417F7"/>
    <w:multiLevelType w:val="multilevel"/>
    <w:tmpl w:val="33E66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D03467"/>
    <w:multiLevelType w:val="hybridMultilevel"/>
    <w:tmpl w:val="13DC5082"/>
    <w:lvl w:ilvl="0" w:tplc="041F0001">
      <w:start w:val="1"/>
      <w:numFmt w:val="bullet"/>
      <w:lvlText w:val=""/>
      <w:lvlJc w:val="left"/>
      <w:pPr>
        <w:ind w:left="742" w:hanging="360"/>
      </w:pPr>
      <w:rPr>
        <w:rFonts w:ascii="Symbol" w:hAnsi="Symbol" w:hint="default"/>
      </w:rPr>
    </w:lvl>
    <w:lvl w:ilvl="1" w:tplc="041F0003" w:tentative="1">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6" w15:restartNumberingAfterBreak="0">
    <w:nsid w:val="3C374F64"/>
    <w:multiLevelType w:val="hybridMultilevel"/>
    <w:tmpl w:val="94D071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3CBD71D7"/>
    <w:multiLevelType w:val="hybridMultilevel"/>
    <w:tmpl w:val="07360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87F04AE"/>
    <w:multiLevelType w:val="hybridMultilevel"/>
    <w:tmpl w:val="6ED2E4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CC44AE6"/>
    <w:multiLevelType w:val="multilevel"/>
    <w:tmpl w:val="498E1F2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D8F3005"/>
    <w:multiLevelType w:val="multilevel"/>
    <w:tmpl w:val="34E49A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5D13F3F"/>
    <w:multiLevelType w:val="hybridMultilevel"/>
    <w:tmpl w:val="E60ACA7C"/>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2" w15:restartNumberingAfterBreak="0">
    <w:nsid w:val="6A5D4555"/>
    <w:multiLevelType w:val="hybridMultilevel"/>
    <w:tmpl w:val="D8CCACDA"/>
    <w:lvl w:ilvl="0" w:tplc="9C6C58BE">
      <w:start w:val="1"/>
      <w:numFmt w:val="decimal"/>
      <w:lvlText w:val="%1."/>
      <w:lvlJc w:val="left"/>
      <w:pPr>
        <w:ind w:left="360" w:hanging="360"/>
      </w:pPr>
      <w:rPr>
        <w:b/>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15:restartNumberingAfterBreak="0">
    <w:nsid w:val="6C634F18"/>
    <w:multiLevelType w:val="multilevel"/>
    <w:tmpl w:val="A2E6D84C"/>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BF2DFF"/>
    <w:multiLevelType w:val="hybridMultilevel"/>
    <w:tmpl w:val="94667B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0E73097"/>
    <w:multiLevelType w:val="hybridMultilevel"/>
    <w:tmpl w:val="91CCB356"/>
    <w:lvl w:ilvl="0" w:tplc="041F0001">
      <w:start w:val="1"/>
      <w:numFmt w:val="bullet"/>
      <w:lvlText w:val=""/>
      <w:lvlJc w:val="left"/>
      <w:pPr>
        <w:ind w:left="742" w:hanging="360"/>
      </w:pPr>
      <w:rPr>
        <w:rFonts w:ascii="Symbol" w:hAnsi="Symbol" w:hint="default"/>
      </w:rPr>
    </w:lvl>
    <w:lvl w:ilvl="1" w:tplc="041F0003">
      <w:start w:val="1"/>
      <w:numFmt w:val="bullet"/>
      <w:lvlText w:val="o"/>
      <w:lvlJc w:val="left"/>
      <w:pPr>
        <w:ind w:left="1462" w:hanging="360"/>
      </w:pPr>
      <w:rPr>
        <w:rFonts w:ascii="Courier New" w:hAnsi="Courier New" w:cs="Courier New" w:hint="default"/>
      </w:rPr>
    </w:lvl>
    <w:lvl w:ilvl="2" w:tplc="041F0005" w:tentative="1">
      <w:start w:val="1"/>
      <w:numFmt w:val="bullet"/>
      <w:lvlText w:val=""/>
      <w:lvlJc w:val="left"/>
      <w:pPr>
        <w:ind w:left="2182" w:hanging="360"/>
      </w:pPr>
      <w:rPr>
        <w:rFonts w:ascii="Wingdings" w:hAnsi="Wingdings" w:hint="default"/>
      </w:rPr>
    </w:lvl>
    <w:lvl w:ilvl="3" w:tplc="041F0001" w:tentative="1">
      <w:start w:val="1"/>
      <w:numFmt w:val="bullet"/>
      <w:lvlText w:val=""/>
      <w:lvlJc w:val="left"/>
      <w:pPr>
        <w:ind w:left="2902" w:hanging="360"/>
      </w:pPr>
      <w:rPr>
        <w:rFonts w:ascii="Symbol" w:hAnsi="Symbol" w:hint="default"/>
      </w:rPr>
    </w:lvl>
    <w:lvl w:ilvl="4" w:tplc="041F0003" w:tentative="1">
      <w:start w:val="1"/>
      <w:numFmt w:val="bullet"/>
      <w:lvlText w:val="o"/>
      <w:lvlJc w:val="left"/>
      <w:pPr>
        <w:ind w:left="3622" w:hanging="360"/>
      </w:pPr>
      <w:rPr>
        <w:rFonts w:ascii="Courier New" w:hAnsi="Courier New" w:cs="Courier New" w:hint="default"/>
      </w:rPr>
    </w:lvl>
    <w:lvl w:ilvl="5" w:tplc="041F0005" w:tentative="1">
      <w:start w:val="1"/>
      <w:numFmt w:val="bullet"/>
      <w:lvlText w:val=""/>
      <w:lvlJc w:val="left"/>
      <w:pPr>
        <w:ind w:left="4342" w:hanging="360"/>
      </w:pPr>
      <w:rPr>
        <w:rFonts w:ascii="Wingdings" w:hAnsi="Wingdings" w:hint="default"/>
      </w:rPr>
    </w:lvl>
    <w:lvl w:ilvl="6" w:tplc="041F0001" w:tentative="1">
      <w:start w:val="1"/>
      <w:numFmt w:val="bullet"/>
      <w:lvlText w:val=""/>
      <w:lvlJc w:val="left"/>
      <w:pPr>
        <w:ind w:left="5062" w:hanging="360"/>
      </w:pPr>
      <w:rPr>
        <w:rFonts w:ascii="Symbol" w:hAnsi="Symbol" w:hint="default"/>
      </w:rPr>
    </w:lvl>
    <w:lvl w:ilvl="7" w:tplc="041F0003" w:tentative="1">
      <w:start w:val="1"/>
      <w:numFmt w:val="bullet"/>
      <w:lvlText w:val="o"/>
      <w:lvlJc w:val="left"/>
      <w:pPr>
        <w:ind w:left="5782" w:hanging="360"/>
      </w:pPr>
      <w:rPr>
        <w:rFonts w:ascii="Courier New" w:hAnsi="Courier New" w:cs="Courier New" w:hint="default"/>
      </w:rPr>
    </w:lvl>
    <w:lvl w:ilvl="8" w:tplc="041F0005" w:tentative="1">
      <w:start w:val="1"/>
      <w:numFmt w:val="bullet"/>
      <w:lvlText w:val=""/>
      <w:lvlJc w:val="left"/>
      <w:pPr>
        <w:ind w:left="6502" w:hanging="360"/>
      </w:pPr>
      <w:rPr>
        <w:rFonts w:ascii="Wingdings" w:hAnsi="Wingdings" w:hint="default"/>
      </w:rPr>
    </w:lvl>
  </w:abstractNum>
  <w:abstractNum w:abstractNumId="16" w15:restartNumberingAfterBreak="0">
    <w:nsid w:val="7CEE094D"/>
    <w:multiLevelType w:val="hybridMultilevel"/>
    <w:tmpl w:val="EA6A8972"/>
    <w:lvl w:ilvl="0" w:tplc="041F0001">
      <w:start w:val="1"/>
      <w:numFmt w:val="bullet"/>
      <w:lvlText w:val=""/>
      <w:lvlJc w:val="left"/>
      <w:pPr>
        <w:ind w:left="749" w:hanging="360"/>
      </w:pPr>
      <w:rPr>
        <w:rFonts w:ascii="Symbol" w:hAnsi="Symbol" w:hint="default"/>
      </w:rPr>
    </w:lvl>
    <w:lvl w:ilvl="1" w:tplc="041F0003" w:tentative="1">
      <w:start w:val="1"/>
      <w:numFmt w:val="bullet"/>
      <w:lvlText w:val="o"/>
      <w:lvlJc w:val="left"/>
      <w:pPr>
        <w:ind w:left="1469" w:hanging="360"/>
      </w:pPr>
      <w:rPr>
        <w:rFonts w:ascii="Courier New" w:hAnsi="Courier New" w:cs="Courier New" w:hint="default"/>
      </w:rPr>
    </w:lvl>
    <w:lvl w:ilvl="2" w:tplc="041F0005" w:tentative="1">
      <w:start w:val="1"/>
      <w:numFmt w:val="bullet"/>
      <w:lvlText w:val=""/>
      <w:lvlJc w:val="left"/>
      <w:pPr>
        <w:ind w:left="2189" w:hanging="360"/>
      </w:pPr>
      <w:rPr>
        <w:rFonts w:ascii="Wingdings" w:hAnsi="Wingdings" w:hint="default"/>
      </w:rPr>
    </w:lvl>
    <w:lvl w:ilvl="3" w:tplc="041F0001" w:tentative="1">
      <w:start w:val="1"/>
      <w:numFmt w:val="bullet"/>
      <w:lvlText w:val=""/>
      <w:lvlJc w:val="left"/>
      <w:pPr>
        <w:ind w:left="2909" w:hanging="360"/>
      </w:pPr>
      <w:rPr>
        <w:rFonts w:ascii="Symbol" w:hAnsi="Symbol" w:hint="default"/>
      </w:rPr>
    </w:lvl>
    <w:lvl w:ilvl="4" w:tplc="041F0003" w:tentative="1">
      <w:start w:val="1"/>
      <w:numFmt w:val="bullet"/>
      <w:lvlText w:val="o"/>
      <w:lvlJc w:val="left"/>
      <w:pPr>
        <w:ind w:left="3629" w:hanging="360"/>
      </w:pPr>
      <w:rPr>
        <w:rFonts w:ascii="Courier New" w:hAnsi="Courier New" w:cs="Courier New" w:hint="default"/>
      </w:rPr>
    </w:lvl>
    <w:lvl w:ilvl="5" w:tplc="041F0005" w:tentative="1">
      <w:start w:val="1"/>
      <w:numFmt w:val="bullet"/>
      <w:lvlText w:val=""/>
      <w:lvlJc w:val="left"/>
      <w:pPr>
        <w:ind w:left="4349" w:hanging="360"/>
      </w:pPr>
      <w:rPr>
        <w:rFonts w:ascii="Wingdings" w:hAnsi="Wingdings" w:hint="default"/>
      </w:rPr>
    </w:lvl>
    <w:lvl w:ilvl="6" w:tplc="041F0001" w:tentative="1">
      <w:start w:val="1"/>
      <w:numFmt w:val="bullet"/>
      <w:lvlText w:val=""/>
      <w:lvlJc w:val="left"/>
      <w:pPr>
        <w:ind w:left="5069" w:hanging="360"/>
      </w:pPr>
      <w:rPr>
        <w:rFonts w:ascii="Symbol" w:hAnsi="Symbol" w:hint="default"/>
      </w:rPr>
    </w:lvl>
    <w:lvl w:ilvl="7" w:tplc="041F0003" w:tentative="1">
      <w:start w:val="1"/>
      <w:numFmt w:val="bullet"/>
      <w:lvlText w:val="o"/>
      <w:lvlJc w:val="left"/>
      <w:pPr>
        <w:ind w:left="5789" w:hanging="360"/>
      </w:pPr>
      <w:rPr>
        <w:rFonts w:ascii="Courier New" w:hAnsi="Courier New" w:cs="Courier New" w:hint="default"/>
      </w:rPr>
    </w:lvl>
    <w:lvl w:ilvl="8" w:tplc="041F0005" w:tentative="1">
      <w:start w:val="1"/>
      <w:numFmt w:val="bullet"/>
      <w:lvlText w:val=""/>
      <w:lvlJc w:val="left"/>
      <w:pPr>
        <w:ind w:left="6509" w:hanging="360"/>
      </w:pPr>
      <w:rPr>
        <w:rFonts w:ascii="Wingdings" w:hAnsi="Wingdings" w:hint="default"/>
      </w:rPr>
    </w:lvl>
  </w:abstractNum>
  <w:num w:numId="1">
    <w:abstractNumId w:val="3"/>
  </w:num>
  <w:num w:numId="2">
    <w:abstractNumId w:val="6"/>
  </w:num>
  <w:num w:numId="3">
    <w:abstractNumId w:val="8"/>
  </w:num>
  <w:num w:numId="4">
    <w:abstractNumId w:val="6"/>
  </w:num>
  <w:num w:numId="5">
    <w:abstractNumId w:val="7"/>
  </w:num>
  <w:num w:numId="6">
    <w:abstractNumId w:val="14"/>
  </w:num>
  <w:num w:numId="7">
    <w:abstractNumId w:val="16"/>
  </w:num>
  <w:num w:numId="8">
    <w:abstractNumId w:val="0"/>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1"/>
  </w:num>
  <w:num w:numId="12">
    <w:abstractNumId w:val="11"/>
  </w:num>
  <w:num w:numId="13">
    <w:abstractNumId w:val="5"/>
  </w:num>
  <w:num w:numId="14">
    <w:abstractNumId w:val="9"/>
  </w:num>
  <w:num w:numId="15">
    <w:abstractNumId w:val="15"/>
  </w:num>
  <w:num w:numId="16">
    <w:abstractNumId w:val="10"/>
  </w:num>
  <w:num w:numId="17">
    <w:abstractNumId w:val="13"/>
  </w:num>
  <w:num w:numId="18">
    <w:abstractNumId w:val="4"/>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6FE"/>
    <w:rsid w:val="00413D61"/>
    <w:rsid w:val="004D06FE"/>
    <w:rsid w:val="0057272B"/>
    <w:rsid w:val="00773F42"/>
    <w:rsid w:val="007934D8"/>
    <w:rsid w:val="009A1D42"/>
    <w:rsid w:val="00A51A7F"/>
    <w:rsid w:val="00CA2CA0"/>
    <w:rsid w:val="00D12C18"/>
    <w:rsid w:val="00DC2077"/>
    <w:rsid w:val="00ED7A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B50CFF4"/>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pPr>
      <w:spacing w:after="0" w:line="240" w:lineRule="auto"/>
    </w:pPr>
  </w:style>
  <w:style w:type="character" w:customStyle="1" w:styleId="AralkYokChar">
    <w:name w:val="Aralık Yok Char"/>
    <w:basedOn w:val="VarsaylanParagrafYazTipi"/>
    <w:link w:val="AralkYok"/>
    <w:uiPriority w:val="1"/>
  </w:style>
  <w:style w:type="table" w:styleId="TabloKlavuzuAk">
    <w:name w:val="Grid Table Light"/>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pPr>
      <w:autoSpaceDE w:val="0"/>
      <w:autoSpaceDN w:val="0"/>
      <w:adjustRightInd w:val="0"/>
      <w:spacing w:after="0" w:line="240" w:lineRule="auto"/>
    </w:pPr>
    <w:rPr>
      <w:rFonts w:ascii="Courier New" w:eastAsia="Times New Roman" w:hAnsi="Courier New" w:cs="Courier New"/>
      <w:color w:val="000000"/>
      <w:sz w:val="24"/>
      <w:szCs w:val="24"/>
      <w:lang w:eastAsia="tr-TR"/>
    </w:rPr>
  </w:style>
  <w:style w:type="paragraph" w:styleId="NormalWeb">
    <w:name w:val="Normal (Web)"/>
    <w:basedOn w:val="Normal"/>
    <w:uiPriority w:val="99"/>
    <w:unhideWhenUsed/>
    <w:pPr>
      <w:spacing w:before="100" w:beforeAutospacing="1" w:after="100" w:afterAutospacing="1"/>
    </w:pPr>
  </w:style>
  <w:style w:type="paragraph" w:styleId="ListeParagraf">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4204">
      <w:bodyDiv w:val="1"/>
      <w:marLeft w:val="0"/>
      <w:marRight w:val="0"/>
      <w:marTop w:val="0"/>
      <w:marBottom w:val="0"/>
      <w:divBdr>
        <w:top w:val="none" w:sz="0" w:space="0" w:color="auto"/>
        <w:left w:val="none" w:sz="0" w:space="0" w:color="auto"/>
        <w:bottom w:val="none" w:sz="0" w:space="0" w:color="auto"/>
        <w:right w:val="none" w:sz="0" w:space="0" w:color="auto"/>
      </w:divBdr>
    </w:div>
    <w:div w:id="633566565">
      <w:bodyDiv w:val="1"/>
      <w:marLeft w:val="0"/>
      <w:marRight w:val="0"/>
      <w:marTop w:val="0"/>
      <w:marBottom w:val="0"/>
      <w:divBdr>
        <w:top w:val="none" w:sz="0" w:space="0" w:color="auto"/>
        <w:left w:val="none" w:sz="0" w:space="0" w:color="auto"/>
        <w:bottom w:val="none" w:sz="0" w:space="0" w:color="auto"/>
        <w:right w:val="none" w:sz="0" w:space="0" w:color="auto"/>
      </w:divBdr>
    </w:div>
    <w:div w:id="765929146">
      <w:bodyDiv w:val="1"/>
      <w:marLeft w:val="0"/>
      <w:marRight w:val="0"/>
      <w:marTop w:val="0"/>
      <w:marBottom w:val="0"/>
      <w:divBdr>
        <w:top w:val="none" w:sz="0" w:space="0" w:color="auto"/>
        <w:left w:val="none" w:sz="0" w:space="0" w:color="auto"/>
        <w:bottom w:val="none" w:sz="0" w:space="0" w:color="auto"/>
        <w:right w:val="none" w:sz="0" w:space="0" w:color="auto"/>
      </w:divBdr>
    </w:div>
    <w:div w:id="789593364">
      <w:bodyDiv w:val="1"/>
      <w:marLeft w:val="0"/>
      <w:marRight w:val="0"/>
      <w:marTop w:val="0"/>
      <w:marBottom w:val="0"/>
      <w:divBdr>
        <w:top w:val="none" w:sz="0" w:space="0" w:color="auto"/>
        <w:left w:val="none" w:sz="0" w:space="0" w:color="auto"/>
        <w:bottom w:val="none" w:sz="0" w:space="0" w:color="auto"/>
        <w:right w:val="none" w:sz="0" w:space="0" w:color="auto"/>
      </w:divBdr>
    </w:div>
    <w:div w:id="1416318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508</Words>
  <Characters>2896</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BAŞKENT ÜNİVERSİTESİ KALİTE VE AKREDİTASYON KOORDİNATÖRLÜĞÜ</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BAŞKENT ÜNİVERSİTESİ KALİTE VE AKREDİTASYON KOORDİNATÖRLÜĞÜ</dc:title>
  <dc:subject/>
  <dc:creator>DİLEK YALÇIN</dc:creator>
  <cp:keywords/>
  <dc:description/>
  <cp:lastModifiedBy>Baskent</cp:lastModifiedBy>
  <cp:revision>48</cp:revision>
  <dcterms:created xsi:type="dcterms:W3CDTF">2025-01-13T05:12:00Z</dcterms:created>
  <dcterms:modified xsi:type="dcterms:W3CDTF">2025-04-02T08:24:00Z</dcterms:modified>
</cp:coreProperties>
</file>