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numPr>
          <w:ilvl w:val="0"/>
          <w:numId w:val="1"/>
        </w:numPr>
        <w:pBdr>
          <w:top w:val="nil"/>
          <w:left w:val="nil"/>
          <w:bottom w:val="nil"/>
          <w:right w:val="nil"/>
          <w:between w:val="nil"/>
        </w:pBdr>
        <w:ind w:left="284" w:hanging="284"/>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AMAÇ</w:t>
      </w:r>
    </w:p>
    <w:p>
      <w:pPr>
        <w:jc w:val="both"/>
        <w:rPr>
          <w:rFonts w:ascii="Times New Roman" w:eastAsia="Times New Roman" w:hAnsi="Times New Roman"/>
          <w:sz w:val="24"/>
          <w:szCs w:val="24"/>
        </w:rPr>
      </w:pPr>
      <w:r>
        <w:rPr>
          <w:rFonts w:ascii="Times New Roman" w:eastAsia="Times New Roman" w:hAnsi="Times New Roman"/>
          <w:sz w:val="24"/>
          <w:szCs w:val="24"/>
        </w:rPr>
        <w:t xml:space="preserve">Bu prosedürün amacı, Üniversitemizin faaliyet alanlarına ilişkin süreçlerinden kaynaklanabilecek tehlike ve risklerin belirlenerek risk yönetim planları oluşturulması, </w:t>
      </w:r>
      <w:r>
        <w:rPr>
          <w:rFonts w:ascii="Times New Roman" w:eastAsia="Times New Roman" w:hAnsi="Times New Roman"/>
          <w:bCs/>
          <w:sz w:val="24"/>
          <w:szCs w:val="24"/>
        </w:rPr>
        <w:t xml:space="preserve">TS EN </w:t>
      </w:r>
      <w:r>
        <w:rPr>
          <w:rFonts w:ascii="Times New Roman" w:eastAsia="Times New Roman" w:hAnsi="Times New Roman"/>
          <w:sz w:val="24"/>
          <w:szCs w:val="24"/>
        </w:rPr>
        <w:t xml:space="preserve">ISO 9001: 2015 standardı gereğince risk odaklı </w:t>
      </w:r>
      <w:proofErr w:type="gramStart"/>
      <w:r>
        <w:rPr>
          <w:rFonts w:ascii="Times New Roman" w:eastAsia="Times New Roman" w:hAnsi="Times New Roman"/>
          <w:sz w:val="24"/>
          <w:szCs w:val="24"/>
        </w:rPr>
        <w:t>proses</w:t>
      </w:r>
      <w:proofErr w:type="gramEnd"/>
      <w:r>
        <w:rPr>
          <w:rFonts w:ascii="Times New Roman" w:eastAsia="Times New Roman" w:hAnsi="Times New Roman"/>
          <w:sz w:val="24"/>
          <w:szCs w:val="24"/>
        </w:rPr>
        <w:t xml:space="preserve"> yaklaşımıyla kaliteyi artırmak, geliştirmek ve sürekliliğini sağlayabilmek için gereken önleyici tedbirlerin risk gerçekleşmeden önce farkında olunmasını sağlamak ve alınan/alınacak tedbirleri hızlı şekilde değerlendirmek ve aynı süreçte olası fırsatların öngörülüp gerekli iyileştirmelerin belirlenmesi amacıyla bir yöntem oluşturmaktır.  </w:t>
      </w:r>
    </w:p>
    <w:p>
      <w:pPr>
        <w:numPr>
          <w:ilvl w:val="0"/>
          <w:numId w:val="1"/>
        </w:numPr>
        <w:pBdr>
          <w:top w:val="nil"/>
          <w:left w:val="nil"/>
          <w:bottom w:val="nil"/>
          <w:right w:val="nil"/>
          <w:between w:val="nil"/>
        </w:pBdr>
        <w:ind w:left="284" w:hanging="284"/>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KAPSAM</w:t>
      </w:r>
    </w:p>
    <w:p>
      <w:pPr>
        <w:pBdr>
          <w:top w:val="nil"/>
          <w:left w:val="nil"/>
          <w:bottom w:val="nil"/>
          <w:right w:val="nil"/>
          <w:between w:val="nil"/>
        </w:pBdr>
        <w:jc w:val="both"/>
        <w:rPr>
          <w:rFonts w:ascii="Times New Roman" w:eastAsia="Times New Roman" w:hAnsi="Times New Roman"/>
          <w:sz w:val="24"/>
          <w:szCs w:val="24"/>
        </w:rPr>
      </w:pPr>
      <w:r>
        <w:rPr>
          <w:rFonts w:ascii="Times New Roman" w:eastAsia="Times New Roman" w:hAnsi="Times New Roman"/>
          <w:sz w:val="24"/>
          <w:szCs w:val="24"/>
        </w:rPr>
        <w:t xml:space="preserve">Bu </w:t>
      </w:r>
      <w:proofErr w:type="gramStart"/>
      <w:r>
        <w:rPr>
          <w:rFonts w:ascii="Times New Roman" w:eastAsia="Times New Roman" w:hAnsi="Times New Roman"/>
          <w:sz w:val="24"/>
          <w:szCs w:val="24"/>
        </w:rPr>
        <w:t>prosedür</w:t>
      </w:r>
      <w:proofErr w:type="gramEnd"/>
      <w:r>
        <w:rPr>
          <w:rFonts w:ascii="Times New Roman" w:eastAsia="Times New Roman" w:hAnsi="Times New Roman"/>
          <w:sz w:val="24"/>
          <w:szCs w:val="24"/>
        </w:rPr>
        <w:t xml:space="preserve"> uygulanmakta olan standartlar kapsamında belirlenen süreçler için risk ve fırsatların değerlendirilmesi faaliyetlerini kapsar.</w:t>
      </w:r>
    </w:p>
    <w:p>
      <w:pPr>
        <w:numPr>
          <w:ilvl w:val="0"/>
          <w:numId w:val="1"/>
        </w:numPr>
        <w:pBdr>
          <w:top w:val="nil"/>
          <w:left w:val="nil"/>
          <w:bottom w:val="nil"/>
          <w:right w:val="nil"/>
          <w:between w:val="nil"/>
        </w:pBdr>
        <w:ind w:left="284" w:hanging="284"/>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SORUMLULAR</w:t>
      </w:r>
    </w:p>
    <w:p>
      <w:pPr>
        <w:pStyle w:val="ListeParagraf"/>
        <w:numPr>
          <w:ilvl w:val="1"/>
          <w:numId w:val="1"/>
        </w:numPr>
        <w:pBdr>
          <w:top w:val="nil"/>
          <w:left w:val="nil"/>
          <w:bottom w:val="nil"/>
          <w:right w:val="nil"/>
          <w:between w:val="nil"/>
        </w:pBdr>
        <w:spacing w:after="160"/>
        <w:jc w:val="both"/>
        <w:rPr>
          <w:rFonts w:ascii="Times New Roman" w:eastAsia="Times New Roman" w:hAnsi="Times New Roman"/>
          <w:sz w:val="24"/>
          <w:szCs w:val="24"/>
        </w:rPr>
      </w:pPr>
      <w:r>
        <w:rPr>
          <w:rFonts w:ascii="Times New Roman" w:eastAsia="Times New Roman" w:hAnsi="Times New Roman"/>
          <w:sz w:val="24"/>
          <w:szCs w:val="24"/>
        </w:rPr>
        <w:t xml:space="preserve">Bu </w:t>
      </w:r>
      <w:proofErr w:type="gramStart"/>
      <w:r>
        <w:rPr>
          <w:rFonts w:ascii="Times New Roman" w:eastAsia="Times New Roman" w:hAnsi="Times New Roman"/>
          <w:sz w:val="24"/>
          <w:szCs w:val="24"/>
        </w:rPr>
        <w:t>prosedürün</w:t>
      </w:r>
      <w:proofErr w:type="gramEnd"/>
      <w:r>
        <w:rPr>
          <w:rFonts w:ascii="Times New Roman" w:eastAsia="Times New Roman" w:hAnsi="Times New Roman"/>
          <w:sz w:val="24"/>
          <w:szCs w:val="24"/>
        </w:rPr>
        <w:t xml:space="preserve"> onaylanması ve yürürlüğe konulmasından Rektör ve/veya Rektör Yardımcıları, hazırlanmasından ve uygulamasından Kalite ve Akreditasyon Koordinatörlüğü sorumludur.</w:t>
      </w:r>
      <w:r>
        <w:rPr>
          <w:rFonts w:ascii="Times New Roman" w:eastAsia="Times New Roman" w:hAnsi="Times New Roman"/>
          <w:sz w:val="24"/>
          <w:szCs w:val="24"/>
          <w:highlight w:val="white"/>
          <w:lang w:bidi="tr-TR"/>
        </w:rPr>
        <w:t xml:space="preserve"> </w:t>
      </w:r>
    </w:p>
    <w:p>
      <w:pPr>
        <w:pStyle w:val="ListeParagraf"/>
        <w:numPr>
          <w:ilvl w:val="1"/>
          <w:numId w:val="1"/>
        </w:numPr>
        <w:pBdr>
          <w:top w:val="nil"/>
          <w:left w:val="nil"/>
          <w:bottom w:val="nil"/>
          <w:right w:val="nil"/>
          <w:between w:val="nil"/>
        </w:pBdr>
        <w:spacing w:after="160"/>
        <w:jc w:val="both"/>
        <w:rPr>
          <w:rFonts w:ascii="Times New Roman" w:eastAsia="Times New Roman" w:hAnsi="Times New Roman"/>
          <w:sz w:val="24"/>
          <w:szCs w:val="24"/>
        </w:rPr>
      </w:pPr>
      <w:r>
        <w:rPr>
          <w:rFonts w:ascii="Times New Roman" w:eastAsia="Times New Roman" w:hAnsi="Times New Roman"/>
          <w:sz w:val="24"/>
          <w:szCs w:val="24"/>
          <w:highlight w:val="white"/>
          <w:lang w:bidi="tr-TR"/>
        </w:rPr>
        <w:t xml:space="preserve">Bu </w:t>
      </w:r>
      <w:proofErr w:type="gramStart"/>
      <w:r>
        <w:rPr>
          <w:rFonts w:ascii="Times New Roman" w:eastAsia="Times New Roman" w:hAnsi="Times New Roman"/>
          <w:sz w:val="24"/>
          <w:szCs w:val="24"/>
          <w:highlight w:val="white"/>
          <w:lang w:bidi="tr-TR"/>
        </w:rPr>
        <w:t>prosedürün</w:t>
      </w:r>
      <w:proofErr w:type="gramEnd"/>
      <w:r>
        <w:rPr>
          <w:rFonts w:ascii="Times New Roman" w:eastAsia="Times New Roman" w:hAnsi="Times New Roman"/>
          <w:sz w:val="24"/>
          <w:szCs w:val="24"/>
          <w:highlight w:val="white"/>
          <w:lang w:bidi="tr-TR"/>
        </w:rPr>
        <w:t xml:space="preserve"> uygulanması sırasında </w:t>
      </w:r>
      <w:r>
        <w:rPr>
          <w:rFonts w:ascii="Times New Roman" w:eastAsia="Times New Roman" w:hAnsi="Times New Roman"/>
          <w:sz w:val="24"/>
          <w:szCs w:val="24"/>
          <w:highlight w:val="white"/>
        </w:rPr>
        <w:t xml:space="preserve">risklerin takibi ve ölçümünden </w:t>
      </w:r>
      <w:r>
        <w:rPr>
          <w:rFonts w:ascii="Times New Roman" w:eastAsia="Times New Roman" w:hAnsi="Times New Roman"/>
          <w:sz w:val="24"/>
          <w:szCs w:val="24"/>
          <w:highlight w:val="white"/>
          <w:lang w:bidi="tr-TR"/>
        </w:rPr>
        <w:t xml:space="preserve">Birim Yöneticileri, Birim Kalite Sorumluları ve </w:t>
      </w:r>
      <w:r>
        <w:rPr>
          <w:rFonts w:ascii="Times New Roman" w:eastAsia="Times New Roman" w:hAnsi="Times New Roman"/>
          <w:sz w:val="24"/>
          <w:szCs w:val="24"/>
        </w:rPr>
        <w:t xml:space="preserve">çalışanları sorumludur. </w:t>
      </w:r>
    </w:p>
    <w:p>
      <w:pPr>
        <w:pStyle w:val="ListeParagraf"/>
        <w:numPr>
          <w:ilvl w:val="1"/>
          <w:numId w:val="1"/>
        </w:numPr>
        <w:pBdr>
          <w:top w:val="nil"/>
          <w:left w:val="nil"/>
          <w:bottom w:val="nil"/>
          <w:right w:val="nil"/>
          <w:between w:val="nil"/>
        </w:pBdr>
        <w:spacing w:after="160"/>
        <w:jc w:val="both"/>
        <w:rPr>
          <w:rFonts w:ascii="Times New Roman" w:eastAsia="Times New Roman" w:hAnsi="Times New Roman"/>
          <w:sz w:val="24"/>
          <w:szCs w:val="24"/>
        </w:rPr>
      </w:pPr>
      <w:r>
        <w:rPr>
          <w:rFonts w:ascii="Times New Roman" w:eastAsia="Times New Roman" w:hAnsi="Times New Roman"/>
          <w:sz w:val="24"/>
          <w:szCs w:val="24"/>
          <w:highlight w:val="white"/>
          <w:lang w:bidi="tr-TR"/>
        </w:rPr>
        <w:t>Risk analizi ve değerlendirmeleri her birim/bölüm tarafından oluşturulacak olan en az 2 kişilik komisyonca yapılıp süreç sahibi tarafından onaylanır.</w:t>
      </w:r>
    </w:p>
    <w:p>
      <w:pPr>
        <w:numPr>
          <w:ilvl w:val="0"/>
          <w:numId w:val="1"/>
        </w:numPr>
        <w:pBdr>
          <w:top w:val="nil"/>
          <w:left w:val="nil"/>
          <w:bottom w:val="nil"/>
          <w:right w:val="nil"/>
          <w:between w:val="nil"/>
        </w:pBdr>
        <w:ind w:left="284" w:hanging="284"/>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TERİMLER VE TANIMLAR</w:t>
      </w:r>
    </w:p>
    <w:p>
      <w:pPr>
        <w:pStyle w:val="ListeParagraf"/>
        <w:numPr>
          <w:ilvl w:val="1"/>
          <w:numId w:val="1"/>
        </w:numPr>
        <w:pBdr>
          <w:top w:val="nil"/>
          <w:left w:val="nil"/>
          <w:bottom w:val="nil"/>
          <w:right w:val="nil"/>
          <w:between w:val="nil"/>
        </w:pBdr>
        <w:spacing w:after="0"/>
        <w:ind w:left="567" w:hanging="431"/>
        <w:jc w:val="both"/>
        <w:rPr>
          <w:rFonts w:ascii="Times New Roman" w:eastAsia="Times New Roman" w:hAnsi="Times New Roman"/>
          <w:sz w:val="24"/>
          <w:szCs w:val="24"/>
        </w:rPr>
      </w:pPr>
      <w:r>
        <w:rPr>
          <w:rFonts w:ascii="Times New Roman" w:eastAsia="Times New Roman" w:hAnsi="Times New Roman"/>
          <w:b/>
          <w:sz w:val="24"/>
          <w:szCs w:val="24"/>
        </w:rPr>
        <w:t>Risk</w:t>
      </w:r>
      <w:r>
        <w:rPr>
          <w:rFonts w:ascii="Times New Roman" w:eastAsia="Times New Roman" w:hAnsi="Times New Roman"/>
          <w:sz w:val="24"/>
          <w:szCs w:val="24"/>
        </w:rPr>
        <w:t>: Amaç ve hedeflerin gerçekleşmesini olumsuz etkileyebileceği değerlendirilen olay veya durumları,</w:t>
      </w:r>
    </w:p>
    <w:p>
      <w:pPr>
        <w:numPr>
          <w:ilvl w:val="1"/>
          <w:numId w:val="1"/>
        </w:numPr>
        <w:pBdr>
          <w:top w:val="nil"/>
          <w:left w:val="nil"/>
          <w:bottom w:val="nil"/>
          <w:right w:val="nil"/>
          <w:between w:val="nil"/>
        </w:pBdr>
        <w:spacing w:after="0"/>
        <w:ind w:left="567" w:hanging="431"/>
        <w:jc w:val="both"/>
        <w:rPr>
          <w:rFonts w:ascii="Times New Roman" w:eastAsia="Times New Roman" w:hAnsi="Times New Roman"/>
          <w:sz w:val="24"/>
          <w:szCs w:val="24"/>
        </w:rPr>
      </w:pPr>
      <w:r>
        <w:rPr>
          <w:rFonts w:ascii="Times New Roman" w:eastAsia="Times New Roman" w:hAnsi="Times New Roman"/>
          <w:b/>
          <w:sz w:val="24"/>
          <w:szCs w:val="24"/>
        </w:rPr>
        <w:t xml:space="preserve">Fırsat: </w:t>
      </w:r>
      <w:r>
        <w:rPr>
          <w:rFonts w:ascii="Times New Roman" w:eastAsia="Times New Roman" w:hAnsi="Times New Roman"/>
          <w:sz w:val="24"/>
          <w:szCs w:val="24"/>
        </w:rPr>
        <w:t xml:space="preserve">Amaç ve hedefler üzerinde olumlu etkide bulunabileceği değerlendirilen olay veya durumları, </w:t>
      </w:r>
    </w:p>
    <w:p>
      <w:pPr>
        <w:numPr>
          <w:ilvl w:val="1"/>
          <w:numId w:val="1"/>
        </w:numPr>
        <w:pBdr>
          <w:top w:val="nil"/>
          <w:left w:val="nil"/>
          <w:bottom w:val="nil"/>
          <w:right w:val="nil"/>
          <w:between w:val="nil"/>
        </w:pBdr>
        <w:spacing w:after="0"/>
        <w:ind w:left="567" w:hanging="431"/>
        <w:jc w:val="both"/>
        <w:rPr>
          <w:rFonts w:ascii="Times New Roman" w:eastAsia="Times New Roman" w:hAnsi="Times New Roman"/>
          <w:b/>
          <w:sz w:val="24"/>
          <w:szCs w:val="24"/>
        </w:rPr>
      </w:pPr>
      <w:r>
        <w:rPr>
          <w:rFonts w:ascii="Times New Roman" w:eastAsia="Times New Roman" w:hAnsi="Times New Roman"/>
          <w:b/>
          <w:sz w:val="24"/>
          <w:szCs w:val="24"/>
        </w:rPr>
        <w:t xml:space="preserve">Tehdit: </w:t>
      </w:r>
      <w:r>
        <w:rPr>
          <w:rFonts w:ascii="Times New Roman" w:eastAsia="Times New Roman" w:hAnsi="Times New Roman"/>
          <w:sz w:val="24"/>
          <w:szCs w:val="24"/>
        </w:rPr>
        <w:t>Riskin olumsuz yanları ve neden olabileceği olası kayıpları,</w:t>
      </w:r>
      <w:r>
        <w:rPr>
          <w:rFonts w:ascii="Times New Roman" w:eastAsia="Times New Roman" w:hAnsi="Times New Roman"/>
          <w:b/>
          <w:sz w:val="24"/>
          <w:szCs w:val="24"/>
        </w:rPr>
        <w:t xml:space="preserve"> </w:t>
      </w:r>
    </w:p>
    <w:p>
      <w:pPr>
        <w:numPr>
          <w:ilvl w:val="1"/>
          <w:numId w:val="1"/>
        </w:numPr>
        <w:pBdr>
          <w:top w:val="nil"/>
          <w:left w:val="nil"/>
          <w:bottom w:val="nil"/>
          <w:right w:val="nil"/>
          <w:between w:val="nil"/>
        </w:pBdr>
        <w:spacing w:after="0"/>
        <w:ind w:left="567" w:hanging="431"/>
        <w:jc w:val="both"/>
        <w:rPr>
          <w:rFonts w:ascii="Times New Roman" w:eastAsia="Times New Roman" w:hAnsi="Times New Roman"/>
          <w:sz w:val="24"/>
          <w:szCs w:val="24"/>
        </w:rPr>
      </w:pPr>
      <w:r>
        <w:rPr>
          <w:rFonts w:ascii="Times New Roman" w:eastAsia="Times New Roman" w:hAnsi="Times New Roman"/>
          <w:b/>
          <w:sz w:val="24"/>
          <w:szCs w:val="24"/>
        </w:rPr>
        <w:t xml:space="preserve">Olasılık: </w:t>
      </w:r>
      <w:r>
        <w:rPr>
          <w:rFonts w:ascii="Times New Roman" w:eastAsia="Times New Roman" w:hAnsi="Times New Roman"/>
          <w:sz w:val="24"/>
          <w:szCs w:val="24"/>
        </w:rPr>
        <w:t>Bir olayın belirli bir zaman diliminde gerçekleşmesi durumunu,</w:t>
      </w:r>
    </w:p>
    <w:p>
      <w:pPr>
        <w:numPr>
          <w:ilvl w:val="1"/>
          <w:numId w:val="1"/>
        </w:numPr>
        <w:pBdr>
          <w:top w:val="nil"/>
          <w:left w:val="nil"/>
          <w:bottom w:val="nil"/>
          <w:right w:val="nil"/>
          <w:between w:val="nil"/>
        </w:pBdr>
        <w:spacing w:after="0"/>
        <w:ind w:left="567" w:hanging="431"/>
        <w:jc w:val="both"/>
        <w:rPr>
          <w:rFonts w:ascii="Times New Roman" w:eastAsia="Times New Roman" w:hAnsi="Times New Roman"/>
          <w:sz w:val="24"/>
          <w:szCs w:val="24"/>
        </w:rPr>
      </w:pPr>
      <w:r>
        <w:rPr>
          <w:rFonts w:ascii="Times New Roman" w:eastAsia="Times New Roman" w:hAnsi="Times New Roman"/>
          <w:b/>
          <w:sz w:val="24"/>
          <w:szCs w:val="24"/>
        </w:rPr>
        <w:t xml:space="preserve">Etki: </w:t>
      </w:r>
      <w:r>
        <w:rPr>
          <w:rFonts w:ascii="Times New Roman" w:eastAsia="Times New Roman" w:hAnsi="Times New Roman"/>
          <w:sz w:val="24"/>
          <w:szCs w:val="24"/>
        </w:rPr>
        <w:t>Bir olayın meydana gelmesi halinde, hedef ve faaliyetler üzerinde yaratacağı sonucu,</w:t>
      </w:r>
    </w:p>
    <w:p>
      <w:pPr>
        <w:numPr>
          <w:ilvl w:val="1"/>
          <w:numId w:val="1"/>
        </w:numPr>
        <w:pBdr>
          <w:top w:val="nil"/>
          <w:left w:val="nil"/>
          <w:bottom w:val="nil"/>
          <w:right w:val="nil"/>
          <w:between w:val="nil"/>
        </w:pBdr>
        <w:spacing w:after="0"/>
        <w:ind w:left="567" w:hanging="431"/>
        <w:jc w:val="both"/>
        <w:rPr>
          <w:rFonts w:ascii="Times New Roman" w:eastAsia="Times New Roman" w:hAnsi="Times New Roman"/>
          <w:sz w:val="24"/>
          <w:szCs w:val="24"/>
        </w:rPr>
      </w:pPr>
      <w:r>
        <w:rPr>
          <w:rFonts w:ascii="Times New Roman" w:eastAsia="Times New Roman" w:hAnsi="Times New Roman"/>
          <w:b/>
          <w:sz w:val="24"/>
          <w:szCs w:val="24"/>
        </w:rPr>
        <w:t xml:space="preserve">Risk İştahı: </w:t>
      </w:r>
      <w:r>
        <w:rPr>
          <w:rFonts w:ascii="Times New Roman" w:eastAsia="Times New Roman" w:hAnsi="Times New Roman"/>
          <w:sz w:val="24"/>
          <w:szCs w:val="24"/>
        </w:rPr>
        <w:t>Takip etme veya sürdürme arzusunda olunan risk miktarı ve tipini,</w:t>
      </w:r>
    </w:p>
    <w:p>
      <w:pPr>
        <w:numPr>
          <w:ilvl w:val="1"/>
          <w:numId w:val="1"/>
        </w:numPr>
        <w:pBdr>
          <w:top w:val="nil"/>
          <w:left w:val="nil"/>
          <w:bottom w:val="nil"/>
          <w:right w:val="nil"/>
          <w:between w:val="nil"/>
        </w:pBdr>
        <w:spacing w:after="0"/>
        <w:ind w:left="567" w:hanging="431"/>
        <w:jc w:val="both"/>
        <w:rPr>
          <w:rFonts w:ascii="Times New Roman" w:eastAsia="Times New Roman" w:hAnsi="Times New Roman"/>
          <w:sz w:val="24"/>
          <w:szCs w:val="24"/>
        </w:rPr>
      </w:pPr>
      <w:r>
        <w:rPr>
          <w:rFonts w:ascii="Times New Roman" w:eastAsia="Times New Roman" w:hAnsi="Times New Roman"/>
          <w:b/>
          <w:sz w:val="24"/>
          <w:szCs w:val="24"/>
        </w:rPr>
        <w:t xml:space="preserve">Risklere Cevap Verilmesi: </w:t>
      </w:r>
      <w:r>
        <w:rPr>
          <w:rFonts w:ascii="Times New Roman" w:eastAsia="Times New Roman" w:hAnsi="Times New Roman"/>
          <w:sz w:val="24"/>
          <w:szCs w:val="24"/>
        </w:rPr>
        <w:t>Riski değiştirme (riskten kaçınma, risk kaynağını ortadan kaldırma, olasılığı değiştirme, riski diğer taraflarla paylaşma vb.) sürecini,</w:t>
      </w:r>
    </w:p>
    <w:p>
      <w:pPr>
        <w:numPr>
          <w:ilvl w:val="1"/>
          <w:numId w:val="1"/>
        </w:numPr>
        <w:pBdr>
          <w:top w:val="nil"/>
          <w:left w:val="nil"/>
          <w:bottom w:val="nil"/>
          <w:right w:val="nil"/>
          <w:between w:val="nil"/>
        </w:pBdr>
        <w:spacing w:after="0"/>
        <w:ind w:left="567" w:hanging="431"/>
        <w:jc w:val="both"/>
        <w:rPr>
          <w:rFonts w:ascii="Times New Roman" w:eastAsia="Times New Roman" w:hAnsi="Times New Roman"/>
          <w:sz w:val="24"/>
          <w:szCs w:val="24"/>
        </w:rPr>
      </w:pPr>
      <w:r>
        <w:rPr>
          <w:rFonts w:ascii="Times New Roman" w:eastAsia="Times New Roman" w:hAnsi="Times New Roman"/>
          <w:b/>
          <w:sz w:val="24"/>
          <w:szCs w:val="24"/>
        </w:rPr>
        <w:t xml:space="preserve">Risk Toleransı: </w:t>
      </w:r>
      <w:r>
        <w:rPr>
          <w:rFonts w:ascii="Times New Roman" w:eastAsia="Times New Roman" w:hAnsi="Times New Roman"/>
          <w:sz w:val="24"/>
          <w:szCs w:val="24"/>
        </w:rPr>
        <w:t>Kuruluş ve paydaşların hedeflerini gerçekleştirmek için risk işlemeden sonra risk taşımaya hazır olma durumunu,</w:t>
      </w:r>
    </w:p>
    <w:p>
      <w:pPr>
        <w:numPr>
          <w:ilvl w:val="1"/>
          <w:numId w:val="1"/>
        </w:numPr>
        <w:pBdr>
          <w:top w:val="nil"/>
          <w:left w:val="nil"/>
          <w:bottom w:val="nil"/>
          <w:right w:val="nil"/>
          <w:between w:val="nil"/>
        </w:pBdr>
        <w:spacing w:after="0"/>
        <w:ind w:left="567" w:hanging="431"/>
        <w:jc w:val="both"/>
        <w:rPr>
          <w:rFonts w:ascii="Times New Roman" w:eastAsia="Times New Roman" w:hAnsi="Times New Roman"/>
          <w:sz w:val="24"/>
          <w:szCs w:val="24"/>
        </w:rPr>
      </w:pPr>
      <w:r>
        <w:rPr>
          <w:rFonts w:ascii="Times New Roman" w:eastAsia="Times New Roman" w:hAnsi="Times New Roman"/>
          <w:b/>
          <w:sz w:val="24"/>
          <w:szCs w:val="24"/>
        </w:rPr>
        <w:t xml:space="preserve">Risk Tutumu: </w:t>
      </w:r>
      <w:r>
        <w:rPr>
          <w:rFonts w:ascii="Times New Roman" w:eastAsia="Times New Roman" w:hAnsi="Times New Roman"/>
          <w:sz w:val="24"/>
          <w:szCs w:val="24"/>
        </w:rPr>
        <w:t>Kuruluşun riski değerlendirmek ve neticesinde takip etmek, kabul etmek, almak ve ondan kaçmak ile ilgili yaklaşımını,</w:t>
      </w:r>
    </w:p>
    <w:p>
      <w:pPr>
        <w:numPr>
          <w:ilvl w:val="1"/>
          <w:numId w:val="1"/>
        </w:numPr>
        <w:pBdr>
          <w:top w:val="nil"/>
          <w:left w:val="nil"/>
          <w:bottom w:val="nil"/>
          <w:right w:val="nil"/>
          <w:between w:val="nil"/>
        </w:pBdr>
        <w:spacing w:after="0"/>
        <w:ind w:left="567" w:hanging="431"/>
        <w:jc w:val="both"/>
        <w:rPr>
          <w:rFonts w:ascii="Times New Roman" w:eastAsia="Times New Roman" w:hAnsi="Times New Roman"/>
          <w:sz w:val="24"/>
          <w:szCs w:val="24"/>
        </w:rPr>
      </w:pPr>
      <w:r>
        <w:rPr>
          <w:rFonts w:ascii="Times New Roman" w:eastAsia="Times New Roman" w:hAnsi="Times New Roman"/>
          <w:b/>
          <w:sz w:val="24"/>
          <w:szCs w:val="24"/>
        </w:rPr>
        <w:lastRenderedPageBreak/>
        <w:t xml:space="preserve">Risk Analizi: </w:t>
      </w:r>
      <w:r>
        <w:rPr>
          <w:rFonts w:ascii="Times New Roman" w:eastAsia="Times New Roman" w:hAnsi="Times New Roman"/>
          <w:sz w:val="24"/>
          <w:szCs w:val="24"/>
        </w:rPr>
        <w:t>Riskin doğasını anlama ve risk seviyesini belirleme sürecini,</w:t>
      </w:r>
    </w:p>
    <w:p>
      <w:pPr>
        <w:numPr>
          <w:ilvl w:val="1"/>
          <w:numId w:val="1"/>
        </w:numPr>
        <w:pBdr>
          <w:top w:val="nil"/>
          <w:left w:val="nil"/>
          <w:bottom w:val="nil"/>
          <w:right w:val="nil"/>
          <w:between w:val="nil"/>
        </w:pBdr>
        <w:spacing w:after="0"/>
        <w:ind w:left="709" w:hanging="573"/>
        <w:jc w:val="both"/>
        <w:rPr>
          <w:rFonts w:ascii="Times New Roman" w:eastAsia="Times New Roman" w:hAnsi="Times New Roman"/>
          <w:sz w:val="24"/>
          <w:szCs w:val="24"/>
        </w:rPr>
      </w:pPr>
      <w:r>
        <w:rPr>
          <w:rFonts w:ascii="Times New Roman" w:eastAsia="Times New Roman" w:hAnsi="Times New Roman"/>
          <w:b/>
          <w:sz w:val="24"/>
          <w:szCs w:val="24"/>
        </w:rPr>
        <w:t xml:space="preserve">Risk Değerlendirilme: </w:t>
      </w:r>
      <w:r>
        <w:rPr>
          <w:rFonts w:ascii="Times New Roman" w:eastAsia="Times New Roman" w:hAnsi="Times New Roman"/>
          <w:sz w:val="24"/>
          <w:szCs w:val="24"/>
        </w:rPr>
        <w:t>Hedeflerin elde edilmesine yönelik olan risklerin tanımlanması ve analiz edilmesini,</w:t>
      </w:r>
    </w:p>
    <w:p>
      <w:pPr>
        <w:numPr>
          <w:ilvl w:val="1"/>
          <w:numId w:val="1"/>
        </w:numPr>
        <w:pBdr>
          <w:top w:val="nil"/>
          <w:left w:val="nil"/>
          <w:bottom w:val="nil"/>
          <w:right w:val="nil"/>
          <w:between w:val="nil"/>
        </w:pBdr>
        <w:spacing w:after="0"/>
        <w:ind w:left="567" w:hanging="431"/>
        <w:jc w:val="both"/>
        <w:rPr>
          <w:rFonts w:ascii="Times New Roman" w:eastAsia="Times New Roman" w:hAnsi="Times New Roman"/>
          <w:sz w:val="24"/>
          <w:szCs w:val="24"/>
        </w:rPr>
      </w:pPr>
      <w:r>
        <w:rPr>
          <w:rFonts w:ascii="Times New Roman" w:eastAsia="Times New Roman" w:hAnsi="Times New Roman"/>
          <w:b/>
          <w:sz w:val="24"/>
          <w:szCs w:val="24"/>
        </w:rPr>
        <w:t>Risk</w:t>
      </w:r>
      <w:r>
        <w:rPr>
          <w:rFonts w:ascii="Times New Roman" w:eastAsia="Times New Roman" w:hAnsi="Times New Roman"/>
          <w:b/>
          <w:bCs/>
          <w:sz w:val="24"/>
          <w:szCs w:val="24"/>
        </w:rPr>
        <w:t xml:space="preserve"> </w:t>
      </w:r>
      <w:r>
        <w:rPr>
          <w:rFonts w:ascii="Times New Roman" w:eastAsia="Times New Roman" w:hAnsi="Times New Roman"/>
          <w:b/>
          <w:sz w:val="24"/>
          <w:szCs w:val="24"/>
        </w:rPr>
        <w:t>Sahibi:</w:t>
      </w:r>
      <w:r>
        <w:rPr>
          <w:rFonts w:ascii="Times New Roman" w:eastAsia="Times New Roman" w:hAnsi="Times New Roman"/>
          <w:b/>
          <w:bCs/>
          <w:sz w:val="24"/>
          <w:szCs w:val="24"/>
        </w:rPr>
        <w:t xml:space="preserve"> </w:t>
      </w:r>
      <w:r>
        <w:rPr>
          <w:rFonts w:ascii="Times New Roman" w:eastAsia="Times New Roman" w:hAnsi="Times New Roman"/>
          <w:sz w:val="24"/>
          <w:szCs w:val="24"/>
        </w:rPr>
        <w:t>Bir riski yönetmek için sorumluluk ve yetki sahibi olan kişi veya birimi,</w:t>
      </w:r>
    </w:p>
    <w:p>
      <w:pPr>
        <w:numPr>
          <w:ilvl w:val="1"/>
          <w:numId w:val="1"/>
        </w:numPr>
        <w:pBdr>
          <w:top w:val="nil"/>
          <w:left w:val="nil"/>
          <w:bottom w:val="nil"/>
          <w:right w:val="nil"/>
          <w:between w:val="nil"/>
        </w:pBdr>
        <w:spacing w:after="0"/>
        <w:ind w:left="567" w:hanging="431"/>
        <w:jc w:val="both"/>
        <w:rPr>
          <w:rFonts w:ascii="Times New Roman" w:eastAsia="Times New Roman" w:hAnsi="Times New Roman"/>
          <w:sz w:val="24"/>
          <w:szCs w:val="24"/>
        </w:rPr>
      </w:pPr>
      <w:r>
        <w:rPr>
          <w:rFonts w:ascii="Times New Roman" w:eastAsia="Times New Roman" w:hAnsi="Times New Roman"/>
          <w:b/>
          <w:sz w:val="24"/>
          <w:szCs w:val="24"/>
        </w:rPr>
        <w:t xml:space="preserve">Riskin Belirlenmesi: </w:t>
      </w:r>
      <w:r>
        <w:rPr>
          <w:rFonts w:ascii="Times New Roman" w:eastAsia="Times New Roman" w:hAnsi="Times New Roman"/>
          <w:sz w:val="24"/>
          <w:szCs w:val="24"/>
        </w:rPr>
        <w:t xml:space="preserve">Riskleri bulma fark etme ve tanımlama sürecini, </w:t>
      </w:r>
    </w:p>
    <w:p>
      <w:pPr>
        <w:numPr>
          <w:ilvl w:val="1"/>
          <w:numId w:val="1"/>
        </w:numPr>
        <w:pBdr>
          <w:top w:val="nil"/>
          <w:left w:val="nil"/>
          <w:bottom w:val="nil"/>
          <w:right w:val="nil"/>
          <w:between w:val="nil"/>
        </w:pBdr>
        <w:spacing w:after="0"/>
        <w:ind w:left="709" w:hanging="573"/>
        <w:jc w:val="both"/>
        <w:rPr>
          <w:rFonts w:ascii="Times New Roman" w:eastAsia="Times New Roman" w:hAnsi="Times New Roman"/>
          <w:sz w:val="24"/>
          <w:szCs w:val="24"/>
        </w:rPr>
      </w:pPr>
      <w:r>
        <w:rPr>
          <w:rFonts w:ascii="Times New Roman" w:eastAsia="Times New Roman" w:hAnsi="Times New Roman"/>
          <w:b/>
          <w:sz w:val="24"/>
          <w:szCs w:val="24"/>
        </w:rPr>
        <w:t xml:space="preserve">Risk Kaynağı: </w:t>
      </w:r>
      <w:r>
        <w:rPr>
          <w:rFonts w:ascii="Times New Roman" w:eastAsia="Times New Roman" w:hAnsi="Times New Roman"/>
          <w:sz w:val="24"/>
          <w:szCs w:val="24"/>
        </w:rPr>
        <w:t>Tek başına veya birleşik olarak özünde riske yol açma potansiyeli olan unsurları,</w:t>
      </w:r>
    </w:p>
    <w:p>
      <w:pPr>
        <w:numPr>
          <w:ilvl w:val="1"/>
          <w:numId w:val="1"/>
        </w:numPr>
        <w:pBdr>
          <w:top w:val="nil"/>
          <w:left w:val="nil"/>
          <w:bottom w:val="nil"/>
          <w:right w:val="nil"/>
          <w:between w:val="nil"/>
        </w:pBdr>
        <w:spacing w:after="0"/>
        <w:ind w:left="709" w:hanging="573"/>
        <w:jc w:val="both"/>
        <w:rPr>
          <w:rFonts w:ascii="Times New Roman" w:eastAsia="Times New Roman" w:hAnsi="Times New Roman"/>
          <w:sz w:val="24"/>
          <w:szCs w:val="24"/>
        </w:rPr>
      </w:pPr>
      <w:r>
        <w:rPr>
          <w:rFonts w:ascii="Times New Roman" w:eastAsia="Times New Roman" w:hAnsi="Times New Roman"/>
          <w:b/>
          <w:bCs/>
          <w:sz w:val="24"/>
          <w:szCs w:val="24"/>
        </w:rPr>
        <w:t>Risklere Cevap Verilmesi:</w:t>
      </w:r>
      <w:r>
        <w:rPr>
          <w:rFonts w:ascii="Times New Roman" w:eastAsia="Times New Roman" w:hAnsi="Times New Roman"/>
          <w:bCs/>
          <w:sz w:val="24"/>
          <w:szCs w:val="24"/>
        </w:rPr>
        <w:t xml:space="preserve"> </w:t>
      </w:r>
      <w:r>
        <w:rPr>
          <w:rFonts w:ascii="Times New Roman" w:eastAsia="Times New Roman" w:hAnsi="Times New Roman"/>
          <w:sz w:val="24"/>
          <w:szCs w:val="24"/>
        </w:rPr>
        <w:t>Riski değiştirme (riskten kaçınma, risk kaynağını ortadan kaldırma, olasılığı değiştirme, riski diğer taraflarla paylaşma vb.) sürecini tanımlar.</w:t>
      </w:r>
    </w:p>
    <w:p>
      <w:pPr>
        <w:numPr>
          <w:ilvl w:val="1"/>
          <w:numId w:val="1"/>
        </w:numPr>
        <w:pBdr>
          <w:top w:val="nil"/>
          <w:left w:val="nil"/>
          <w:bottom w:val="nil"/>
          <w:right w:val="nil"/>
          <w:between w:val="nil"/>
        </w:pBdr>
        <w:spacing w:after="0"/>
        <w:ind w:left="709" w:hanging="567"/>
        <w:jc w:val="both"/>
        <w:rPr>
          <w:rFonts w:ascii="Times New Roman" w:eastAsia="Times New Roman" w:hAnsi="Times New Roman"/>
          <w:sz w:val="24"/>
          <w:szCs w:val="24"/>
        </w:rPr>
      </w:pPr>
      <w:r>
        <w:rPr>
          <w:rFonts w:ascii="Times New Roman" w:eastAsia="Times New Roman" w:hAnsi="Times New Roman"/>
          <w:b/>
          <w:sz w:val="24"/>
          <w:szCs w:val="24"/>
        </w:rPr>
        <w:t>Termin:</w:t>
      </w:r>
      <w:r>
        <w:rPr>
          <w:rFonts w:ascii="Times New Roman" w:eastAsia="Times New Roman" w:hAnsi="Times New Roman"/>
          <w:sz w:val="24"/>
          <w:szCs w:val="24"/>
        </w:rPr>
        <w:t xml:space="preserve"> Risk sonuçlarına göre alınması gereken risk giderme yöntemleri için tanınan azami süredir. </w:t>
      </w:r>
    </w:p>
    <w:p>
      <w:pPr>
        <w:pBdr>
          <w:top w:val="nil"/>
          <w:left w:val="nil"/>
          <w:bottom w:val="nil"/>
          <w:right w:val="nil"/>
          <w:between w:val="nil"/>
        </w:pBdr>
        <w:spacing w:after="0"/>
        <w:ind w:left="360"/>
        <w:jc w:val="both"/>
        <w:rPr>
          <w:rFonts w:ascii="Times New Roman" w:eastAsia="Times New Roman" w:hAnsi="Times New Roman"/>
          <w:color w:val="000000"/>
          <w:sz w:val="24"/>
          <w:szCs w:val="24"/>
        </w:rPr>
      </w:pPr>
    </w:p>
    <w:p>
      <w:pPr>
        <w:numPr>
          <w:ilvl w:val="0"/>
          <w:numId w:val="1"/>
        </w:numPr>
        <w:pBdr>
          <w:top w:val="nil"/>
          <w:left w:val="nil"/>
          <w:bottom w:val="nil"/>
          <w:right w:val="nil"/>
          <w:between w:val="nil"/>
        </w:pBdr>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UYGULAMA </w:t>
      </w:r>
    </w:p>
    <w:p>
      <w:pPr>
        <w:numPr>
          <w:ilvl w:val="1"/>
          <w:numId w:val="1"/>
        </w:numPr>
        <w:pBdr>
          <w:top w:val="nil"/>
          <w:left w:val="nil"/>
          <w:bottom w:val="nil"/>
          <w:right w:val="nil"/>
          <w:between w:val="nil"/>
        </w:pBdr>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Risk ve Fırsatların Tespit Edilmesi </w:t>
      </w:r>
    </w:p>
    <w:p>
      <w:pPr>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Risklerin tanımlanması ve belirlenmesi; risk kaynaklarının, olayların, bu olayların sebebi ve olabilecek sonuçlarının tespit edilmesini içerir. Fırsatların belirlenmesi kalite yönetimi açısında geliştirilmesi, diğer süreçlerin de bu fırsatlara benzetim yapılarak iyileştirilmesi açısından oldukça önemlidir. Risk ve fırsatların tespiti, kalite yönetim sistemi süreçlerinin etkin bir şekilde yönetilmesi, istenmeyen etkilerin önceden engellenmesi ya da en aza indirgenmesi ve sürekli iyileştirme çalışmalarının yürütülmesi açısından önemlidir.</w:t>
      </w:r>
    </w:p>
    <w:p>
      <w:pPr>
        <w:pStyle w:val="ListeParagraf"/>
        <w:numPr>
          <w:ilvl w:val="1"/>
          <w:numId w:val="1"/>
        </w:numPr>
        <w:pBdr>
          <w:top w:val="nil"/>
          <w:left w:val="nil"/>
          <w:bottom w:val="nil"/>
          <w:right w:val="nil"/>
          <w:between w:val="nil"/>
        </w:pBdr>
        <w:jc w:val="both"/>
        <w:rPr>
          <w:rFonts w:ascii="Times New Roman" w:eastAsia="Times New Roman" w:hAnsi="Times New Roman"/>
          <w:sz w:val="24"/>
          <w:szCs w:val="24"/>
        </w:rPr>
      </w:pPr>
      <w:r>
        <w:rPr>
          <w:rFonts w:ascii="Times New Roman" w:eastAsia="Times New Roman" w:hAnsi="Times New Roman"/>
          <w:b/>
          <w:sz w:val="24"/>
          <w:szCs w:val="24"/>
        </w:rPr>
        <w:t xml:space="preserve">Risk ve Fırsatları Belirleme Şekilleri: </w:t>
      </w:r>
      <w:r>
        <w:rPr>
          <w:rFonts w:ascii="Times New Roman" w:eastAsia="Times New Roman" w:hAnsi="Times New Roman"/>
          <w:sz w:val="24"/>
          <w:szCs w:val="24"/>
        </w:rPr>
        <w:t xml:space="preserve">Riskler aşağıdaki yöntemlerden biri veya birkaçı kullanılarak belirlenir. </w:t>
      </w:r>
    </w:p>
    <w:p>
      <w:pPr>
        <w:pStyle w:val="ListeParagraf"/>
        <w:numPr>
          <w:ilvl w:val="0"/>
          <w:numId w:val="16"/>
        </w:numPr>
        <w:pBdr>
          <w:top w:val="nil"/>
          <w:left w:val="nil"/>
          <w:bottom w:val="nil"/>
          <w:right w:val="nil"/>
          <w:between w:val="nil"/>
        </w:pBdr>
        <w:spacing w:after="0"/>
        <w:ind w:left="142" w:hanging="142"/>
        <w:jc w:val="both"/>
        <w:rPr>
          <w:rFonts w:ascii="Times New Roman" w:eastAsia="Times New Roman" w:hAnsi="Times New Roman"/>
          <w:sz w:val="24"/>
          <w:szCs w:val="24"/>
        </w:rPr>
      </w:pPr>
      <w:r>
        <w:rPr>
          <w:rFonts w:ascii="Times New Roman" w:eastAsia="Times New Roman" w:hAnsi="Times New Roman"/>
          <w:b/>
          <w:i/>
          <w:sz w:val="24"/>
          <w:szCs w:val="24"/>
        </w:rPr>
        <w:t>SWOT Analizi:</w:t>
      </w:r>
      <w:r>
        <w:rPr>
          <w:rFonts w:ascii="Times New Roman" w:eastAsia="Times New Roman" w:hAnsi="Times New Roman"/>
          <w:sz w:val="24"/>
          <w:szCs w:val="24"/>
        </w:rPr>
        <w:t xml:space="preserve"> Bir kurumun, tekniğin, sürecin, durumun veya kişinin güçlü (</w:t>
      </w:r>
      <w:proofErr w:type="spellStart"/>
      <w:r>
        <w:rPr>
          <w:rFonts w:ascii="Times New Roman" w:eastAsia="Times New Roman" w:hAnsi="Times New Roman"/>
          <w:sz w:val="24"/>
          <w:szCs w:val="24"/>
        </w:rPr>
        <w:t>Strengths</w:t>
      </w:r>
      <w:proofErr w:type="spellEnd"/>
      <w:r>
        <w:rPr>
          <w:rFonts w:ascii="Times New Roman" w:eastAsia="Times New Roman" w:hAnsi="Times New Roman"/>
          <w:sz w:val="24"/>
          <w:szCs w:val="24"/>
        </w:rPr>
        <w:t>) ve zayıf (</w:t>
      </w:r>
      <w:proofErr w:type="spellStart"/>
      <w:r>
        <w:rPr>
          <w:rFonts w:ascii="Times New Roman" w:eastAsia="Times New Roman" w:hAnsi="Times New Roman"/>
          <w:sz w:val="24"/>
          <w:szCs w:val="24"/>
        </w:rPr>
        <w:t>Weaknesses</w:t>
      </w:r>
      <w:proofErr w:type="spellEnd"/>
      <w:r>
        <w:rPr>
          <w:rFonts w:ascii="Times New Roman" w:eastAsia="Times New Roman" w:hAnsi="Times New Roman"/>
          <w:sz w:val="24"/>
          <w:szCs w:val="24"/>
        </w:rPr>
        <w:t>) yönlerini belirlemek, iç ve dış çevreden kaynaklanan fırsat (</w:t>
      </w:r>
      <w:proofErr w:type="spellStart"/>
      <w:r>
        <w:rPr>
          <w:rFonts w:ascii="Times New Roman" w:eastAsia="Times New Roman" w:hAnsi="Times New Roman"/>
          <w:sz w:val="24"/>
          <w:szCs w:val="24"/>
        </w:rPr>
        <w:t>Opportunities</w:t>
      </w:r>
      <w:proofErr w:type="spellEnd"/>
      <w:r>
        <w:rPr>
          <w:rFonts w:ascii="Times New Roman" w:eastAsia="Times New Roman" w:hAnsi="Times New Roman"/>
          <w:sz w:val="24"/>
          <w:szCs w:val="24"/>
        </w:rPr>
        <w:t>) ve tehditleri (</w:t>
      </w:r>
      <w:proofErr w:type="spellStart"/>
      <w:r>
        <w:rPr>
          <w:rFonts w:ascii="Times New Roman" w:eastAsia="Times New Roman" w:hAnsi="Times New Roman"/>
          <w:sz w:val="24"/>
          <w:szCs w:val="24"/>
        </w:rPr>
        <w:t>Threats</w:t>
      </w:r>
      <w:proofErr w:type="spellEnd"/>
      <w:r>
        <w:rPr>
          <w:rFonts w:ascii="Times New Roman" w:eastAsia="Times New Roman" w:hAnsi="Times New Roman"/>
          <w:sz w:val="24"/>
          <w:szCs w:val="24"/>
        </w:rPr>
        <w:t>) saptamak için kullanılan stratejik bir tekniktir.</w:t>
      </w:r>
    </w:p>
    <w:p>
      <w:pPr>
        <w:pStyle w:val="ListeParagraf"/>
        <w:pBdr>
          <w:top w:val="nil"/>
          <w:left w:val="nil"/>
          <w:bottom w:val="nil"/>
          <w:right w:val="nil"/>
          <w:between w:val="nil"/>
        </w:pBdr>
        <w:ind w:left="142" w:hanging="142"/>
        <w:jc w:val="both"/>
        <w:rPr>
          <w:rFonts w:ascii="Times New Roman" w:eastAsia="Times New Roman" w:hAnsi="Times New Roman"/>
          <w:sz w:val="24"/>
          <w:szCs w:val="24"/>
        </w:rPr>
      </w:pPr>
    </w:p>
    <w:p>
      <w:pPr>
        <w:pStyle w:val="ListeParagraf"/>
        <w:numPr>
          <w:ilvl w:val="0"/>
          <w:numId w:val="16"/>
        </w:numPr>
        <w:pBdr>
          <w:top w:val="nil"/>
          <w:left w:val="nil"/>
          <w:bottom w:val="nil"/>
          <w:right w:val="nil"/>
          <w:between w:val="nil"/>
        </w:pBdr>
        <w:spacing w:after="0"/>
        <w:ind w:left="142" w:hanging="142"/>
        <w:jc w:val="both"/>
        <w:rPr>
          <w:rFonts w:ascii="Times New Roman" w:eastAsia="Times New Roman" w:hAnsi="Times New Roman"/>
          <w:sz w:val="24"/>
          <w:szCs w:val="24"/>
        </w:rPr>
      </w:pPr>
      <w:r>
        <w:rPr>
          <w:rFonts w:ascii="Times New Roman" w:eastAsia="Times New Roman" w:hAnsi="Times New Roman"/>
          <w:b/>
          <w:i/>
          <w:sz w:val="24"/>
          <w:szCs w:val="24"/>
        </w:rPr>
        <w:t>Beyin Fırtınası:</w:t>
      </w:r>
      <w:r>
        <w:rPr>
          <w:rFonts w:ascii="Times New Roman" w:eastAsia="Times New Roman" w:hAnsi="Times New Roman"/>
          <w:sz w:val="24"/>
          <w:szCs w:val="24"/>
        </w:rPr>
        <w:t xml:space="preserve"> 5-9 kişi ile yapılan, fikir yürütme ve tartışmaları içeren çalışmalardır. Grup çalışmasındaki tartışmalarda mülakat ve atölye çalışması sonuçları önemli bir temel oluşturmakla birlikte, bunların dışında yeni fikirler de ele alınır. Bu çalışmalar, mülakat ve atölye çalışmalarından elde edilen sonuçların pekiştirilmesi için önemli bir işlev görür. </w:t>
      </w:r>
    </w:p>
    <w:p>
      <w:pPr>
        <w:pBdr>
          <w:top w:val="nil"/>
          <w:left w:val="nil"/>
          <w:bottom w:val="nil"/>
          <w:right w:val="nil"/>
          <w:between w:val="nil"/>
        </w:pBdr>
        <w:spacing w:after="0"/>
        <w:ind w:left="142" w:hanging="142"/>
        <w:jc w:val="both"/>
        <w:rPr>
          <w:rFonts w:ascii="Times New Roman" w:eastAsia="Times New Roman" w:hAnsi="Times New Roman"/>
          <w:sz w:val="24"/>
          <w:szCs w:val="24"/>
        </w:rPr>
      </w:pPr>
    </w:p>
    <w:p>
      <w:pPr>
        <w:pStyle w:val="ListeParagraf"/>
        <w:numPr>
          <w:ilvl w:val="0"/>
          <w:numId w:val="16"/>
        </w:numPr>
        <w:pBdr>
          <w:top w:val="nil"/>
          <w:left w:val="nil"/>
          <w:bottom w:val="nil"/>
          <w:right w:val="nil"/>
          <w:between w:val="nil"/>
        </w:pBdr>
        <w:spacing w:after="0"/>
        <w:ind w:left="142" w:hanging="142"/>
        <w:jc w:val="both"/>
        <w:rPr>
          <w:rFonts w:ascii="Times New Roman" w:eastAsia="Times New Roman" w:hAnsi="Times New Roman"/>
          <w:sz w:val="24"/>
          <w:szCs w:val="24"/>
        </w:rPr>
      </w:pPr>
      <w:r>
        <w:rPr>
          <w:rFonts w:ascii="Times New Roman" w:eastAsia="Times New Roman" w:hAnsi="Times New Roman"/>
          <w:b/>
          <w:i/>
          <w:sz w:val="24"/>
          <w:szCs w:val="24"/>
        </w:rPr>
        <w:t>Dâhili Analiz:</w:t>
      </w:r>
      <w:r>
        <w:rPr>
          <w:rFonts w:ascii="Times New Roman" w:eastAsia="Times New Roman" w:hAnsi="Times New Roman"/>
          <w:sz w:val="24"/>
          <w:szCs w:val="24"/>
        </w:rPr>
        <w:t xml:space="preserve"> Birimlerin personel toplantıları aracılığı ile yaptıkları müzakerelerdir. </w:t>
      </w:r>
    </w:p>
    <w:p>
      <w:pPr>
        <w:pBdr>
          <w:top w:val="nil"/>
          <w:left w:val="nil"/>
          <w:bottom w:val="nil"/>
          <w:right w:val="nil"/>
          <w:between w:val="nil"/>
        </w:pBdr>
        <w:spacing w:after="0"/>
        <w:ind w:left="142" w:hanging="142"/>
        <w:jc w:val="both"/>
        <w:rPr>
          <w:rFonts w:ascii="Times New Roman" w:eastAsia="Times New Roman" w:hAnsi="Times New Roman"/>
          <w:sz w:val="24"/>
          <w:szCs w:val="24"/>
        </w:rPr>
      </w:pPr>
    </w:p>
    <w:p>
      <w:pPr>
        <w:pStyle w:val="ListeParagraf"/>
        <w:numPr>
          <w:ilvl w:val="0"/>
          <w:numId w:val="16"/>
        </w:numPr>
        <w:pBdr>
          <w:top w:val="nil"/>
          <w:left w:val="nil"/>
          <w:bottom w:val="nil"/>
          <w:right w:val="nil"/>
          <w:between w:val="nil"/>
        </w:pBdr>
        <w:spacing w:after="0"/>
        <w:ind w:left="142" w:hanging="142"/>
        <w:jc w:val="both"/>
        <w:rPr>
          <w:rFonts w:ascii="Times New Roman" w:eastAsia="Times New Roman" w:hAnsi="Times New Roman"/>
          <w:sz w:val="24"/>
          <w:szCs w:val="24"/>
        </w:rPr>
      </w:pPr>
      <w:r>
        <w:rPr>
          <w:rFonts w:ascii="Times New Roman" w:eastAsia="Times New Roman" w:hAnsi="Times New Roman"/>
          <w:b/>
          <w:i/>
          <w:sz w:val="24"/>
          <w:szCs w:val="24"/>
        </w:rPr>
        <w:t>Eski Veriler:</w:t>
      </w:r>
      <w:r>
        <w:rPr>
          <w:rFonts w:ascii="Times New Roman" w:eastAsia="Times New Roman" w:hAnsi="Times New Roman"/>
          <w:sz w:val="24"/>
          <w:szCs w:val="24"/>
        </w:rPr>
        <w:t xml:space="preserve"> Geçmişte yaşanmış olayların sebep ve kökenlerinin araştırılmasıdır. </w:t>
      </w:r>
    </w:p>
    <w:p>
      <w:pPr>
        <w:pBdr>
          <w:top w:val="nil"/>
          <w:left w:val="nil"/>
          <w:bottom w:val="nil"/>
          <w:right w:val="nil"/>
          <w:between w:val="nil"/>
        </w:pBdr>
        <w:spacing w:after="0"/>
        <w:ind w:left="142" w:hanging="142"/>
        <w:jc w:val="both"/>
        <w:rPr>
          <w:rFonts w:ascii="Times New Roman" w:eastAsia="Times New Roman" w:hAnsi="Times New Roman"/>
          <w:sz w:val="24"/>
          <w:szCs w:val="24"/>
        </w:rPr>
      </w:pPr>
    </w:p>
    <w:p>
      <w:pPr>
        <w:pStyle w:val="ListeParagraf"/>
        <w:numPr>
          <w:ilvl w:val="0"/>
          <w:numId w:val="16"/>
        </w:numPr>
        <w:pBdr>
          <w:top w:val="nil"/>
          <w:left w:val="nil"/>
          <w:bottom w:val="nil"/>
          <w:right w:val="nil"/>
          <w:between w:val="nil"/>
        </w:pBdr>
        <w:ind w:left="142" w:hanging="142"/>
        <w:jc w:val="both"/>
        <w:rPr>
          <w:rFonts w:ascii="Times New Roman" w:eastAsia="Times New Roman" w:hAnsi="Times New Roman"/>
          <w:sz w:val="24"/>
          <w:szCs w:val="24"/>
        </w:rPr>
      </w:pPr>
      <w:r>
        <w:rPr>
          <w:rFonts w:ascii="Times New Roman" w:eastAsia="Times New Roman" w:hAnsi="Times New Roman"/>
          <w:b/>
          <w:i/>
          <w:sz w:val="24"/>
          <w:szCs w:val="24"/>
        </w:rPr>
        <w:t>İş Akış Analizi:</w:t>
      </w:r>
      <w:r>
        <w:rPr>
          <w:rFonts w:ascii="Times New Roman" w:eastAsia="Times New Roman" w:hAnsi="Times New Roman"/>
          <w:sz w:val="24"/>
          <w:szCs w:val="24"/>
        </w:rPr>
        <w:t xml:space="preserve"> Girdiler, görevler, sorumluluklar ve çıktıların bir süreç olarak ele alınıp incelenmesidir.</w:t>
      </w:r>
    </w:p>
    <w:p>
      <w:pPr>
        <w:numPr>
          <w:ilvl w:val="1"/>
          <w:numId w:val="1"/>
        </w:numPr>
        <w:pBdr>
          <w:top w:val="nil"/>
          <w:left w:val="nil"/>
          <w:bottom w:val="nil"/>
          <w:right w:val="nil"/>
          <w:between w:val="nil"/>
        </w:pBdr>
        <w:jc w:val="both"/>
        <w:rPr>
          <w:rFonts w:ascii="Times New Roman" w:eastAsia="Times New Roman" w:hAnsi="Times New Roman"/>
          <w:b/>
          <w:sz w:val="24"/>
          <w:szCs w:val="24"/>
        </w:rPr>
      </w:pPr>
      <w:r>
        <w:rPr>
          <w:rFonts w:ascii="Times New Roman" w:eastAsia="Times New Roman" w:hAnsi="Times New Roman"/>
          <w:b/>
          <w:sz w:val="24"/>
          <w:szCs w:val="24"/>
        </w:rPr>
        <w:lastRenderedPageBreak/>
        <w:t>Riskin Puanlanması ve Risk Değerlendirmesi</w:t>
      </w:r>
    </w:p>
    <w:p>
      <w:pPr>
        <w:pStyle w:val="ListeParagraf"/>
        <w:numPr>
          <w:ilvl w:val="2"/>
          <w:numId w:val="1"/>
        </w:numPr>
        <w:pBdr>
          <w:top w:val="nil"/>
          <w:left w:val="nil"/>
          <w:bottom w:val="nil"/>
          <w:right w:val="nil"/>
          <w:between w:val="nil"/>
        </w:pBdr>
        <w:ind w:left="851" w:hanging="709"/>
        <w:jc w:val="both"/>
        <w:rPr>
          <w:rFonts w:ascii="Times New Roman" w:eastAsia="Times New Roman" w:hAnsi="Times New Roman"/>
          <w:sz w:val="24"/>
          <w:szCs w:val="24"/>
        </w:rPr>
      </w:pPr>
      <w:r>
        <w:rPr>
          <w:rFonts w:ascii="Times New Roman" w:eastAsia="Times New Roman" w:hAnsi="Times New Roman"/>
          <w:sz w:val="24"/>
          <w:szCs w:val="24"/>
        </w:rPr>
        <w:t xml:space="preserve">Risklerin değerlendirilmesi, Üst Yönetim tarafından Üniversitenin daha önceden belirlemiş olduğu amaç ve hedeflerine ulaşmasını etkileyebilecek, beklenen ve beklenmeyen her hangi bir faktörün analiz edilerek </w:t>
      </w:r>
      <w:r>
        <w:rPr>
          <w:rFonts w:ascii="Times New Roman" w:eastAsia="Times New Roman" w:hAnsi="Times New Roman"/>
          <w:b/>
          <w:i/>
          <w:sz w:val="24"/>
          <w:szCs w:val="24"/>
        </w:rPr>
        <w:t xml:space="preserve">olasılık ve etki </w:t>
      </w:r>
      <w:r>
        <w:rPr>
          <w:rFonts w:ascii="Times New Roman" w:eastAsia="Times New Roman" w:hAnsi="Times New Roman"/>
          <w:sz w:val="24"/>
          <w:szCs w:val="24"/>
        </w:rPr>
        <w:t xml:space="preserve">açısından değerlendirilmesidir. </w:t>
      </w:r>
    </w:p>
    <w:p>
      <w:pPr>
        <w:pStyle w:val="ListeParagraf"/>
        <w:pBdr>
          <w:top w:val="nil"/>
          <w:left w:val="nil"/>
          <w:bottom w:val="nil"/>
          <w:right w:val="nil"/>
          <w:between w:val="nil"/>
        </w:pBdr>
        <w:ind w:left="851"/>
        <w:jc w:val="both"/>
        <w:rPr>
          <w:rFonts w:ascii="Times New Roman" w:eastAsia="Times New Roman" w:hAnsi="Times New Roman"/>
          <w:sz w:val="24"/>
          <w:szCs w:val="24"/>
        </w:rPr>
      </w:pPr>
    </w:p>
    <w:p>
      <w:pPr>
        <w:pStyle w:val="ListeParagraf"/>
        <w:numPr>
          <w:ilvl w:val="2"/>
          <w:numId w:val="1"/>
        </w:numPr>
        <w:pBdr>
          <w:top w:val="nil"/>
          <w:left w:val="nil"/>
          <w:bottom w:val="nil"/>
          <w:right w:val="nil"/>
          <w:between w:val="nil"/>
        </w:pBdr>
        <w:ind w:left="851" w:hanging="709"/>
        <w:jc w:val="both"/>
        <w:rPr>
          <w:rFonts w:ascii="Times New Roman" w:eastAsia="Times New Roman" w:hAnsi="Times New Roman"/>
          <w:sz w:val="24"/>
          <w:szCs w:val="24"/>
        </w:rPr>
      </w:pPr>
      <w:r>
        <w:rPr>
          <w:rFonts w:ascii="Times New Roman" w:eastAsia="Times New Roman" w:hAnsi="Times New Roman"/>
          <w:sz w:val="24"/>
          <w:szCs w:val="24"/>
        </w:rPr>
        <w:t xml:space="preserve">Her riskin olma olasılığı ve etkisinin hesaplanması ile her bir risk için </w:t>
      </w:r>
      <w:r>
        <w:rPr>
          <w:rFonts w:ascii="Times New Roman" w:eastAsia="Times New Roman" w:hAnsi="Times New Roman"/>
          <w:b/>
          <w:i/>
          <w:sz w:val="24"/>
          <w:szCs w:val="24"/>
        </w:rPr>
        <w:t>risk puanı</w:t>
      </w:r>
      <w:r>
        <w:rPr>
          <w:rFonts w:ascii="Times New Roman" w:eastAsia="Times New Roman" w:hAnsi="Times New Roman"/>
          <w:sz w:val="24"/>
          <w:szCs w:val="24"/>
        </w:rPr>
        <w:t xml:space="preserve"> bulunur. Daha önceden tespit edilmiş olan riskler gerçekleşme durumu ve gerçekleşmesi halinde hedef ve faaliyetler üzerindeki yaratacağı sonuçlar açısından değerlendirilir. </w:t>
      </w:r>
    </w:p>
    <w:p>
      <w:pPr>
        <w:pStyle w:val="ListeParagraf"/>
        <w:rPr>
          <w:rFonts w:ascii="Times New Roman" w:eastAsia="Times New Roman" w:hAnsi="Times New Roman"/>
          <w:sz w:val="24"/>
          <w:szCs w:val="24"/>
        </w:rPr>
      </w:pPr>
    </w:p>
    <w:p>
      <w:pPr>
        <w:pStyle w:val="ListeParagraf"/>
        <w:numPr>
          <w:ilvl w:val="2"/>
          <w:numId w:val="1"/>
        </w:numPr>
        <w:pBdr>
          <w:top w:val="nil"/>
          <w:left w:val="nil"/>
          <w:bottom w:val="nil"/>
          <w:right w:val="nil"/>
          <w:between w:val="nil"/>
        </w:pBdr>
        <w:ind w:left="851" w:hanging="709"/>
        <w:jc w:val="both"/>
        <w:rPr>
          <w:rFonts w:ascii="Times New Roman" w:eastAsia="Times New Roman" w:hAnsi="Times New Roman"/>
          <w:sz w:val="24"/>
          <w:szCs w:val="24"/>
        </w:rPr>
      </w:pPr>
      <w:r>
        <w:rPr>
          <w:rFonts w:ascii="Times New Roman" w:eastAsia="Times New Roman" w:hAnsi="Times New Roman"/>
          <w:b/>
          <w:i/>
          <w:sz w:val="24"/>
          <w:szCs w:val="24"/>
        </w:rPr>
        <w:t>Riskin Olasılığı/Periyodu:</w:t>
      </w:r>
      <w:r>
        <w:rPr>
          <w:rFonts w:ascii="Times New Roman" w:eastAsia="Times New Roman" w:hAnsi="Times New Roman"/>
          <w:sz w:val="24"/>
          <w:szCs w:val="24"/>
        </w:rPr>
        <w:t xml:space="preserve"> Belirlenen riskin bir yıl içerisindeki tekrar etme olasılığı üzerinden yapılan 1-5 arasında değer alan puanlama sistemidir. (1) rakamı olasılık için en düşük risk gerçekleşme oranını gösterirken (5) rakamı en yüksek olasılığın alacağı değerdir (Tablo 1).</w:t>
      </w:r>
    </w:p>
    <w:p>
      <w:pPr>
        <w:pStyle w:val="ListeParagraf"/>
        <w:pBdr>
          <w:top w:val="nil"/>
          <w:left w:val="nil"/>
          <w:bottom w:val="nil"/>
          <w:right w:val="nil"/>
          <w:between w:val="nil"/>
        </w:pBdr>
        <w:ind w:left="851"/>
        <w:jc w:val="both"/>
        <w:rPr>
          <w:rFonts w:ascii="Times New Roman" w:eastAsia="Times New Roman" w:hAnsi="Times New Roman"/>
          <w:sz w:val="24"/>
          <w:szCs w:val="24"/>
        </w:rPr>
      </w:pPr>
    </w:p>
    <w:p>
      <w:pPr>
        <w:pStyle w:val="ListeParagraf"/>
        <w:numPr>
          <w:ilvl w:val="2"/>
          <w:numId w:val="1"/>
        </w:numPr>
        <w:pBdr>
          <w:top w:val="nil"/>
          <w:left w:val="nil"/>
          <w:bottom w:val="nil"/>
          <w:right w:val="nil"/>
          <w:between w:val="nil"/>
        </w:pBdr>
        <w:ind w:left="851" w:hanging="709"/>
        <w:jc w:val="both"/>
        <w:rPr>
          <w:rFonts w:ascii="Times New Roman" w:eastAsia="Times New Roman" w:hAnsi="Times New Roman"/>
          <w:sz w:val="24"/>
          <w:szCs w:val="24"/>
        </w:rPr>
      </w:pPr>
      <w:r>
        <w:rPr>
          <w:rFonts w:ascii="Times New Roman" w:eastAsia="Times New Roman" w:hAnsi="Times New Roman"/>
          <w:b/>
          <w:bCs/>
          <w:i/>
          <w:sz w:val="24"/>
          <w:szCs w:val="24"/>
        </w:rPr>
        <w:t xml:space="preserve">Riskin </w:t>
      </w:r>
      <w:r>
        <w:rPr>
          <w:rFonts w:ascii="Times New Roman" w:eastAsia="Times New Roman" w:hAnsi="Times New Roman"/>
          <w:b/>
          <w:i/>
          <w:sz w:val="24"/>
          <w:szCs w:val="24"/>
        </w:rPr>
        <w:t>Etkisi/Derecesi:</w:t>
      </w:r>
      <w:r>
        <w:rPr>
          <w:rFonts w:ascii="Times New Roman" w:eastAsia="Times New Roman" w:hAnsi="Times New Roman"/>
          <w:sz w:val="24"/>
          <w:szCs w:val="24"/>
        </w:rPr>
        <w:t xml:space="preserve"> Riskin kurumu ne ölçüde etkileyeceği, doğrudan ve/veya dolaylı yollardan kalite ve müşteri memnuniyetine etkilerinin belirtildiği 1-5 puan arası değer alan puanlama sistemidir. Etki açısından (1) rakamı riskin gerçekleşmesinin doğuracağı sonucun çok az önemi olduğu, (5) rakamı bu sonucun çok önemli olduğu anlamına gelir (Tablo 2).</w:t>
      </w:r>
    </w:p>
    <w:p>
      <w:pPr>
        <w:pStyle w:val="ListeParagraf"/>
        <w:pBdr>
          <w:top w:val="nil"/>
          <w:left w:val="nil"/>
          <w:bottom w:val="nil"/>
          <w:right w:val="nil"/>
          <w:between w:val="nil"/>
        </w:pBdr>
        <w:ind w:left="851"/>
        <w:jc w:val="both"/>
        <w:rPr>
          <w:rFonts w:ascii="Times New Roman" w:eastAsia="Times New Roman" w:hAnsi="Times New Roman"/>
          <w:sz w:val="24"/>
          <w:szCs w:val="24"/>
        </w:rPr>
      </w:pPr>
    </w:p>
    <w:p>
      <w:pPr>
        <w:pStyle w:val="ListeParagraf"/>
        <w:numPr>
          <w:ilvl w:val="2"/>
          <w:numId w:val="1"/>
        </w:numPr>
        <w:pBdr>
          <w:top w:val="nil"/>
          <w:left w:val="nil"/>
          <w:bottom w:val="nil"/>
          <w:right w:val="nil"/>
          <w:between w:val="nil"/>
        </w:pBdr>
        <w:ind w:left="851" w:hanging="709"/>
        <w:jc w:val="both"/>
        <w:rPr>
          <w:rFonts w:ascii="Times New Roman" w:eastAsia="Times New Roman" w:hAnsi="Times New Roman"/>
          <w:sz w:val="24"/>
          <w:szCs w:val="24"/>
        </w:rPr>
      </w:pPr>
      <w:r>
        <w:rPr>
          <w:rFonts w:ascii="Times New Roman" w:eastAsia="Times New Roman" w:hAnsi="Times New Roman"/>
          <w:b/>
          <w:i/>
          <w:sz w:val="24"/>
          <w:szCs w:val="24"/>
        </w:rPr>
        <w:t>Risk Puanı:</w:t>
      </w:r>
      <w:r>
        <w:rPr>
          <w:rFonts w:ascii="Times New Roman" w:eastAsia="Times New Roman" w:hAnsi="Times New Roman"/>
          <w:sz w:val="24"/>
          <w:szCs w:val="24"/>
        </w:rPr>
        <w:t xml:space="preserve"> Riskin Derecesi ve Periyodunun çarpımı sonucunda elde edilen ve riskin kurum için tehlike sınıfını belirleyen sayıdır.</w:t>
      </w:r>
    </w:p>
    <w:p>
      <w:pPr>
        <w:pStyle w:val="ListeParagraf"/>
        <w:rPr>
          <w:rFonts w:ascii="Times New Roman" w:eastAsia="Times New Roman" w:hAnsi="Times New Roman"/>
          <w:sz w:val="24"/>
          <w:szCs w:val="24"/>
        </w:rPr>
      </w:pPr>
    </w:p>
    <w:p>
      <w:pPr>
        <w:pStyle w:val="ListeParagraf"/>
        <w:numPr>
          <w:ilvl w:val="2"/>
          <w:numId w:val="1"/>
        </w:numPr>
        <w:pBdr>
          <w:top w:val="nil"/>
          <w:left w:val="nil"/>
          <w:bottom w:val="nil"/>
          <w:right w:val="nil"/>
          <w:between w:val="nil"/>
        </w:pBdr>
        <w:ind w:left="851" w:hanging="709"/>
        <w:jc w:val="both"/>
        <w:rPr>
          <w:rFonts w:ascii="Times New Roman" w:eastAsia="Times New Roman" w:hAnsi="Times New Roman"/>
          <w:sz w:val="24"/>
          <w:szCs w:val="24"/>
        </w:rPr>
      </w:pPr>
      <w:r>
        <w:rPr>
          <w:rFonts w:ascii="Times New Roman" w:eastAsia="Times New Roman" w:hAnsi="Times New Roman"/>
          <w:b/>
          <w:i/>
          <w:sz w:val="24"/>
          <w:szCs w:val="24"/>
        </w:rPr>
        <w:t>Risk Sınıfı:</w:t>
      </w:r>
      <w:r>
        <w:rPr>
          <w:rFonts w:ascii="Times New Roman" w:eastAsia="Times New Roman" w:hAnsi="Times New Roman"/>
          <w:sz w:val="24"/>
          <w:szCs w:val="24"/>
        </w:rPr>
        <w:t xml:space="preserve"> Elde edilen risk puanlarını görsel olarak gösterme amaçlı oluşturulmuş dört renkten oluşan bir görsel anlatımdır. Renkler aksiyon öncesi ve aksiyon sonrası risk derecesini görselleştirmesi açısından önem taşır. </w:t>
      </w:r>
    </w:p>
    <w:p>
      <w:pPr>
        <w:pBdr>
          <w:top w:val="nil"/>
          <w:left w:val="nil"/>
          <w:bottom w:val="nil"/>
          <w:right w:val="nil"/>
          <w:between w:val="nil"/>
        </w:pBdr>
        <w:jc w:val="both"/>
        <w:rPr>
          <w:rFonts w:ascii="Times New Roman" w:eastAsia="Times New Roman" w:hAnsi="Times New Roman"/>
          <w:b/>
          <w:color w:val="000000"/>
          <w:sz w:val="24"/>
          <w:szCs w:val="24"/>
          <w:u w:val="single"/>
        </w:rPr>
      </w:pPr>
      <w:r>
        <w:rPr>
          <w:rFonts w:ascii="Times New Roman" w:eastAsia="Times New Roman" w:hAnsi="Times New Roman"/>
          <w:b/>
          <w:color w:val="000000"/>
          <w:sz w:val="24"/>
          <w:szCs w:val="24"/>
          <w:u w:val="single"/>
        </w:rPr>
        <w:t>Risk Sınıfı Renk Skalası</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7512"/>
      </w:tblGrid>
      <w:tr>
        <w:trPr>
          <w:trHeight w:val="396"/>
        </w:trPr>
        <w:tc>
          <w:tcPr>
            <w:tcW w:w="1560" w:type="dxa"/>
            <w:shd w:val="clear" w:color="auto" w:fill="FF0000"/>
          </w:tcPr>
          <w:p>
            <w:pPr>
              <w:jc w:val="center"/>
              <w:rPr>
                <w:rFonts w:ascii="Times New Roman" w:eastAsia="Times New Roman" w:hAnsi="Times New Roman"/>
                <w:b/>
                <w:color w:val="000000"/>
                <w:u w:val="single"/>
              </w:rPr>
            </w:pPr>
            <w:r>
              <w:rPr>
                <w:rFonts w:ascii="Times New Roman" w:eastAsia="Times New Roman" w:hAnsi="Times New Roman"/>
                <w:b/>
                <w:color w:val="000000"/>
                <w:u w:val="single"/>
              </w:rPr>
              <w:t>KIRMIZI</w:t>
            </w:r>
          </w:p>
        </w:tc>
        <w:tc>
          <w:tcPr>
            <w:tcW w:w="7512" w:type="dxa"/>
          </w:tcPr>
          <w:p>
            <w:pPr>
              <w:rPr>
                <w:rFonts w:ascii="Times New Roman" w:eastAsia="Times New Roman" w:hAnsi="Times New Roman"/>
                <w:b/>
                <w:color w:val="000000" w:themeColor="text1"/>
              </w:rPr>
            </w:pPr>
            <w:r>
              <w:rPr>
                <w:rFonts w:ascii="Times New Roman" w:eastAsia="Times New Roman" w:hAnsi="Times New Roman"/>
                <w:b/>
                <w:color w:val="000000" w:themeColor="text1"/>
              </w:rPr>
              <w:t xml:space="preserve">Kırmızı renkli alanlar 20-25 puan arası </w:t>
            </w:r>
            <w:r>
              <w:rPr>
                <w:rFonts w:ascii="Times New Roman" w:eastAsia="Times New Roman" w:hAnsi="Times New Roman"/>
                <w:b/>
                <w:color w:val="000000"/>
                <w:u w:val="single"/>
              </w:rPr>
              <w:t>1. DERECE RİSKLERİ ifade eder.</w:t>
            </w:r>
          </w:p>
        </w:tc>
      </w:tr>
      <w:tr>
        <w:trPr>
          <w:trHeight w:val="396"/>
        </w:trPr>
        <w:tc>
          <w:tcPr>
            <w:tcW w:w="1560" w:type="dxa"/>
            <w:shd w:val="clear" w:color="auto" w:fill="FF9900"/>
          </w:tcPr>
          <w:p>
            <w:pPr>
              <w:jc w:val="center"/>
              <w:rPr>
                <w:rFonts w:ascii="Times New Roman" w:eastAsia="Times New Roman" w:hAnsi="Times New Roman"/>
                <w:b/>
                <w:color w:val="000000" w:themeColor="text1"/>
                <w:u w:val="single"/>
              </w:rPr>
            </w:pPr>
            <w:r>
              <w:rPr>
                <w:rFonts w:ascii="Times New Roman" w:eastAsia="Times New Roman" w:hAnsi="Times New Roman"/>
                <w:b/>
                <w:color w:val="000000" w:themeColor="text1"/>
                <w:u w:val="single"/>
              </w:rPr>
              <w:t>TURUNCU</w:t>
            </w:r>
          </w:p>
        </w:tc>
        <w:tc>
          <w:tcPr>
            <w:tcW w:w="7512" w:type="dxa"/>
          </w:tcPr>
          <w:p>
            <w:pPr>
              <w:rPr>
                <w:rFonts w:ascii="Times New Roman" w:eastAsia="Times New Roman" w:hAnsi="Times New Roman"/>
                <w:b/>
                <w:color w:val="000000"/>
                <w:u w:val="single"/>
              </w:rPr>
            </w:pPr>
            <w:r>
              <w:rPr>
                <w:rFonts w:ascii="Times New Roman" w:eastAsia="Times New Roman" w:hAnsi="Times New Roman"/>
                <w:b/>
                <w:color w:val="000000" w:themeColor="text1"/>
              </w:rPr>
              <w:t xml:space="preserve">Turuncu renkli alanlar 11-19 puan arası </w:t>
            </w:r>
            <w:r>
              <w:rPr>
                <w:rFonts w:ascii="Times New Roman" w:eastAsia="Times New Roman" w:hAnsi="Times New Roman"/>
                <w:b/>
                <w:color w:val="000000"/>
                <w:u w:val="single"/>
              </w:rPr>
              <w:t>2. DERECE RİSKLERİ ifade eder.</w:t>
            </w:r>
          </w:p>
        </w:tc>
      </w:tr>
      <w:tr>
        <w:trPr>
          <w:trHeight w:val="396"/>
        </w:trPr>
        <w:tc>
          <w:tcPr>
            <w:tcW w:w="1560" w:type="dxa"/>
            <w:shd w:val="clear" w:color="auto" w:fill="FFFF00"/>
          </w:tcPr>
          <w:p>
            <w:pPr>
              <w:jc w:val="center"/>
              <w:rPr>
                <w:rFonts w:ascii="Times New Roman" w:eastAsia="Times New Roman" w:hAnsi="Times New Roman"/>
                <w:b/>
                <w:color w:val="000000" w:themeColor="text1"/>
                <w:u w:val="single"/>
              </w:rPr>
            </w:pPr>
            <w:r>
              <w:rPr>
                <w:rFonts w:ascii="Times New Roman" w:eastAsia="Times New Roman" w:hAnsi="Times New Roman"/>
                <w:b/>
                <w:color w:val="000000" w:themeColor="text1"/>
                <w:u w:val="single"/>
              </w:rPr>
              <w:t>SARI</w:t>
            </w:r>
          </w:p>
        </w:tc>
        <w:tc>
          <w:tcPr>
            <w:tcW w:w="7512" w:type="dxa"/>
          </w:tcPr>
          <w:p>
            <w:pPr>
              <w:rPr>
                <w:rFonts w:ascii="Times New Roman" w:eastAsia="Times New Roman" w:hAnsi="Times New Roman"/>
                <w:b/>
                <w:color w:val="000000"/>
                <w:u w:val="single"/>
              </w:rPr>
            </w:pPr>
            <w:r>
              <w:rPr>
                <w:rFonts w:ascii="Times New Roman" w:eastAsia="Times New Roman" w:hAnsi="Times New Roman"/>
                <w:b/>
                <w:color w:val="000000" w:themeColor="text1"/>
              </w:rPr>
              <w:t xml:space="preserve">Sarı renkli alanlar 6-10 puan arası </w:t>
            </w:r>
            <w:r>
              <w:rPr>
                <w:rFonts w:ascii="Times New Roman" w:eastAsia="Times New Roman" w:hAnsi="Times New Roman"/>
                <w:b/>
                <w:color w:val="000000" w:themeColor="text1"/>
                <w:u w:val="single"/>
              </w:rPr>
              <w:t>3. DERECE RİSKLERİ ifade eder.</w:t>
            </w:r>
          </w:p>
        </w:tc>
      </w:tr>
      <w:tr>
        <w:trPr>
          <w:trHeight w:val="396"/>
        </w:trPr>
        <w:tc>
          <w:tcPr>
            <w:tcW w:w="1560" w:type="dxa"/>
            <w:shd w:val="clear" w:color="auto" w:fill="009900"/>
          </w:tcPr>
          <w:p>
            <w:pPr>
              <w:jc w:val="center"/>
              <w:rPr>
                <w:rFonts w:ascii="Times New Roman" w:eastAsia="Times New Roman" w:hAnsi="Times New Roman"/>
                <w:b/>
                <w:color w:val="000000" w:themeColor="text1"/>
                <w:u w:val="single"/>
              </w:rPr>
            </w:pPr>
            <w:r>
              <w:rPr>
                <w:rFonts w:ascii="Times New Roman" w:eastAsia="Times New Roman" w:hAnsi="Times New Roman"/>
                <w:b/>
                <w:color w:val="000000" w:themeColor="text1"/>
                <w:u w:val="single"/>
              </w:rPr>
              <w:t>YEŞİL</w:t>
            </w:r>
          </w:p>
        </w:tc>
        <w:tc>
          <w:tcPr>
            <w:tcW w:w="7512" w:type="dxa"/>
          </w:tcPr>
          <w:p>
            <w:pPr>
              <w:rPr>
                <w:rFonts w:ascii="Times New Roman" w:eastAsia="Times New Roman" w:hAnsi="Times New Roman"/>
                <w:b/>
                <w:color w:val="000000"/>
                <w:u w:val="single"/>
              </w:rPr>
            </w:pPr>
            <w:r>
              <w:rPr>
                <w:rFonts w:ascii="Times New Roman" w:eastAsia="Times New Roman" w:hAnsi="Times New Roman"/>
                <w:b/>
                <w:color w:val="000000" w:themeColor="text1"/>
              </w:rPr>
              <w:t xml:space="preserve">Yeşil renkli alanlar 0-5 puan arası </w:t>
            </w:r>
            <w:r>
              <w:rPr>
                <w:rFonts w:ascii="Times New Roman" w:eastAsia="Times New Roman" w:hAnsi="Times New Roman"/>
                <w:b/>
                <w:color w:val="000000" w:themeColor="text1"/>
                <w:u w:val="single"/>
              </w:rPr>
              <w:t>4. DERECE RİSKLERİ ifade eder.</w:t>
            </w:r>
          </w:p>
        </w:tc>
      </w:tr>
    </w:tbl>
    <w:p>
      <w:pPr>
        <w:pStyle w:val="ListeParagraf"/>
        <w:pBdr>
          <w:top w:val="nil"/>
          <w:left w:val="nil"/>
          <w:bottom w:val="nil"/>
          <w:right w:val="nil"/>
          <w:between w:val="nil"/>
        </w:pBdr>
        <w:ind w:left="360"/>
        <w:jc w:val="both"/>
        <w:rPr>
          <w:rFonts w:ascii="Times New Roman" w:eastAsia="Times New Roman" w:hAnsi="Times New Roman"/>
          <w:b/>
          <w:color w:val="000000"/>
          <w:u w:val="single"/>
        </w:rPr>
      </w:pPr>
    </w:p>
    <w:p>
      <w:pPr>
        <w:pBdr>
          <w:top w:val="nil"/>
          <w:left w:val="nil"/>
          <w:bottom w:val="nil"/>
          <w:right w:val="nil"/>
          <w:between w:val="nil"/>
        </w:pBdr>
        <w:ind w:left="142"/>
        <w:jc w:val="both"/>
        <w:rPr>
          <w:rFonts w:ascii="Times New Roman" w:eastAsia="Times New Roman" w:hAnsi="Times New Roman"/>
          <w:sz w:val="24"/>
          <w:szCs w:val="24"/>
        </w:rPr>
      </w:pPr>
    </w:p>
    <w:p>
      <w:pPr>
        <w:pBdr>
          <w:top w:val="nil"/>
          <w:left w:val="nil"/>
          <w:bottom w:val="nil"/>
          <w:right w:val="nil"/>
          <w:between w:val="nil"/>
        </w:pBdr>
        <w:jc w:val="both"/>
        <w:rPr>
          <w:rFonts w:ascii="Times New Roman" w:eastAsia="Times New Roman" w:hAnsi="Times New Roman"/>
          <w:sz w:val="24"/>
          <w:szCs w:val="24"/>
        </w:rPr>
      </w:pPr>
      <w:r>
        <w:rPr>
          <w:rFonts w:ascii="Times New Roman" w:eastAsia="Times New Roman" w:hAnsi="Times New Roman"/>
          <w:b/>
          <w:bCs/>
          <w:sz w:val="24"/>
          <w:szCs w:val="24"/>
        </w:rPr>
        <w:lastRenderedPageBreak/>
        <w:t xml:space="preserve">Tablo 1. Riskin Olasılığı / Periyodu </w:t>
      </w:r>
    </w:p>
    <w:tbl>
      <w:tblPr>
        <w:tblStyle w:val="a9"/>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134"/>
        <w:gridCol w:w="7087"/>
      </w:tblGrid>
      <w:tr>
        <w:trPr>
          <w:trHeight w:val="448"/>
        </w:trPr>
        <w:tc>
          <w:tcPr>
            <w:tcW w:w="1560" w:type="dxa"/>
            <w:shd w:val="clear" w:color="auto" w:fill="C9C9C9" w:themeFill="accent3" w:themeFillTint="99"/>
          </w:tcPr>
          <w:p>
            <w:pPr>
              <w:pBdr>
                <w:top w:val="nil"/>
                <w:left w:val="nil"/>
                <w:bottom w:val="nil"/>
                <w:right w:val="nil"/>
                <w:between w:val="nil"/>
              </w:pBdr>
              <w:spacing w:after="200" w:line="276" w:lineRule="auto"/>
              <w:jc w:val="both"/>
              <w:rPr>
                <w:rFonts w:ascii="Times New Roman" w:eastAsia="Times New Roman" w:hAnsi="Times New Roman"/>
                <w:b/>
                <w:color w:val="auto"/>
                <w:sz w:val="24"/>
                <w:szCs w:val="24"/>
              </w:rPr>
            </w:pPr>
            <w:r>
              <w:rPr>
                <w:rFonts w:ascii="Times New Roman" w:eastAsia="Times New Roman" w:hAnsi="Times New Roman"/>
                <w:b/>
                <w:color w:val="auto"/>
                <w:sz w:val="24"/>
                <w:szCs w:val="24"/>
              </w:rPr>
              <w:t>OLASILIK</w:t>
            </w:r>
          </w:p>
        </w:tc>
        <w:tc>
          <w:tcPr>
            <w:tcW w:w="1134" w:type="dxa"/>
            <w:shd w:val="clear" w:color="auto" w:fill="C9C9C9" w:themeFill="accent3" w:themeFillTint="99"/>
          </w:tcPr>
          <w:p>
            <w:pPr>
              <w:pBdr>
                <w:top w:val="nil"/>
                <w:left w:val="nil"/>
                <w:bottom w:val="nil"/>
                <w:right w:val="nil"/>
                <w:between w:val="nil"/>
              </w:pBdr>
              <w:spacing w:after="200" w:line="276" w:lineRule="auto"/>
              <w:jc w:val="both"/>
              <w:rPr>
                <w:rFonts w:ascii="Times New Roman" w:eastAsia="Times New Roman" w:hAnsi="Times New Roman"/>
                <w:b/>
                <w:color w:val="auto"/>
                <w:sz w:val="24"/>
                <w:szCs w:val="24"/>
              </w:rPr>
            </w:pPr>
            <w:r>
              <w:rPr>
                <w:rFonts w:ascii="Times New Roman" w:eastAsia="Times New Roman" w:hAnsi="Times New Roman"/>
                <w:b/>
                <w:color w:val="auto"/>
                <w:sz w:val="24"/>
                <w:szCs w:val="24"/>
              </w:rPr>
              <w:t>PUAN</w:t>
            </w:r>
          </w:p>
        </w:tc>
        <w:tc>
          <w:tcPr>
            <w:tcW w:w="7087" w:type="dxa"/>
            <w:shd w:val="clear" w:color="auto" w:fill="C9C9C9" w:themeFill="accent3" w:themeFillTint="99"/>
          </w:tcPr>
          <w:p>
            <w:pPr>
              <w:pBdr>
                <w:top w:val="nil"/>
                <w:left w:val="nil"/>
                <w:bottom w:val="nil"/>
                <w:right w:val="nil"/>
                <w:between w:val="nil"/>
              </w:pBdr>
              <w:tabs>
                <w:tab w:val="left" w:pos="6125"/>
              </w:tabs>
              <w:spacing w:after="200" w:line="276" w:lineRule="auto"/>
              <w:jc w:val="both"/>
              <w:rPr>
                <w:rFonts w:ascii="Times New Roman" w:eastAsia="Times New Roman" w:hAnsi="Times New Roman"/>
                <w:b/>
                <w:color w:val="auto"/>
                <w:sz w:val="24"/>
                <w:szCs w:val="24"/>
              </w:rPr>
            </w:pPr>
            <w:r>
              <w:rPr>
                <w:rFonts w:ascii="Times New Roman" w:eastAsia="Times New Roman" w:hAnsi="Times New Roman"/>
                <w:b/>
                <w:color w:val="auto"/>
                <w:sz w:val="24"/>
                <w:szCs w:val="24"/>
              </w:rPr>
              <w:t>RİSKİN GERÇEKLEŞME SIKLIĞI / AÇIKLAMASI</w:t>
            </w:r>
            <w:r>
              <w:rPr>
                <w:rFonts w:ascii="Times New Roman" w:eastAsia="Times New Roman" w:hAnsi="Times New Roman"/>
                <w:b/>
                <w:color w:val="auto"/>
                <w:sz w:val="24"/>
                <w:szCs w:val="24"/>
              </w:rPr>
              <w:tab/>
            </w:r>
          </w:p>
        </w:tc>
      </w:tr>
      <w:tr>
        <w:trPr>
          <w:trHeight w:val="569"/>
        </w:trPr>
        <w:tc>
          <w:tcPr>
            <w:tcW w:w="1560" w:type="dxa"/>
            <w:shd w:val="clear" w:color="auto" w:fill="EDEDED" w:themeFill="accent3" w:themeFillTint="33"/>
            <w:vAlign w:val="center"/>
          </w:tcPr>
          <w:p>
            <w:pPr>
              <w:pBdr>
                <w:top w:val="nil"/>
                <w:left w:val="nil"/>
                <w:bottom w:val="nil"/>
                <w:right w:val="nil"/>
                <w:between w:val="nil"/>
              </w:pBdr>
              <w:spacing w:after="200" w:line="276" w:lineRule="auto"/>
              <w:jc w:val="both"/>
              <w:rPr>
                <w:rFonts w:ascii="Times New Roman" w:eastAsia="Times New Roman" w:hAnsi="Times New Roman"/>
                <w:b/>
                <w:color w:val="auto"/>
              </w:rPr>
            </w:pPr>
            <w:r>
              <w:rPr>
                <w:rFonts w:ascii="Times New Roman" w:eastAsia="Times New Roman" w:hAnsi="Times New Roman"/>
                <w:b/>
                <w:color w:val="auto"/>
              </w:rPr>
              <w:t>Çok Düşük</w:t>
            </w:r>
          </w:p>
        </w:tc>
        <w:tc>
          <w:tcPr>
            <w:tcW w:w="1134" w:type="dxa"/>
            <w:shd w:val="clear" w:color="auto" w:fill="EDEDED" w:themeFill="accent3" w:themeFillTint="33"/>
            <w:vAlign w:val="center"/>
          </w:tcPr>
          <w:p>
            <w:pPr>
              <w:pBdr>
                <w:top w:val="nil"/>
                <w:left w:val="nil"/>
                <w:bottom w:val="nil"/>
                <w:right w:val="nil"/>
                <w:between w:val="nil"/>
              </w:pBdr>
              <w:spacing w:after="200" w:line="276" w:lineRule="auto"/>
              <w:jc w:val="center"/>
              <w:rPr>
                <w:rFonts w:ascii="Times New Roman" w:eastAsia="Times New Roman" w:hAnsi="Times New Roman"/>
                <w:b/>
                <w:color w:val="auto"/>
              </w:rPr>
            </w:pPr>
            <w:r>
              <w:rPr>
                <w:rFonts w:ascii="Times New Roman" w:eastAsia="Times New Roman" w:hAnsi="Times New Roman"/>
                <w:b/>
                <w:color w:val="auto"/>
              </w:rPr>
              <w:t>1</w:t>
            </w:r>
          </w:p>
        </w:tc>
        <w:tc>
          <w:tcPr>
            <w:tcW w:w="7087" w:type="dxa"/>
            <w:shd w:val="clear" w:color="auto" w:fill="FFFFFF" w:themeFill="background1"/>
          </w:tcPr>
          <w:p>
            <w:pPr>
              <w:pBdr>
                <w:top w:val="nil"/>
                <w:left w:val="nil"/>
                <w:bottom w:val="nil"/>
                <w:right w:val="nil"/>
                <w:between w:val="nil"/>
              </w:pBdr>
              <w:spacing w:line="276" w:lineRule="auto"/>
              <w:rPr>
                <w:rFonts w:ascii="Times New Roman" w:eastAsia="Times New Roman" w:hAnsi="Times New Roman"/>
                <w:color w:val="auto"/>
              </w:rPr>
            </w:pPr>
            <w:r>
              <w:rPr>
                <w:rFonts w:ascii="Times New Roman" w:eastAsia="Times New Roman" w:hAnsi="Times New Roman"/>
                <w:color w:val="auto"/>
              </w:rPr>
              <w:t xml:space="preserve">Yılda en fazla 1 defa gerçekleşen risk ve uygunsuzluklar. </w:t>
            </w:r>
          </w:p>
          <w:p>
            <w:pPr>
              <w:pStyle w:val="ListeParagraf"/>
              <w:numPr>
                <w:ilvl w:val="0"/>
                <w:numId w:val="8"/>
              </w:numPr>
              <w:pBdr>
                <w:top w:val="nil"/>
                <w:left w:val="nil"/>
                <w:bottom w:val="nil"/>
                <w:right w:val="nil"/>
                <w:between w:val="nil"/>
              </w:pBdr>
              <w:ind w:left="175" w:hanging="141"/>
              <w:rPr>
                <w:rFonts w:ascii="Times New Roman" w:eastAsia="Times New Roman" w:hAnsi="Times New Roman"/>
              </w:rPr>
            </w:pPr>
            <w:r>
              <w:rPr>
                <w:rFonts w:ascii="Times New Roman" w:eastAsia="Times New Roman" w:hAnsi="Times New Roman"/>
                <w:color w:val="auto"/>
              </w:rPr>
              <w:t>Risk durumunun gerçekleşmesi söz konusu değil, istisnai durum.</w:t>
            </w:r>
          </w:p>
        </w:tc>
      </w:tr>
      <w:tr>
        <w:trPr>
          <w:trHeight w:val="563"/>
        </w:trPr>
        <w:tc>
          <w:tcPr>
            <w:tcW w:w="1560" w:type="dxa"/>
            <w:shd w:val="clear" w:color="auto" w:fill="EDEDED" w:themeFill="accent3" w:themeFillTint="33"/>
            <w:vAlign w:val="center"/>
          </w:tcPr>
          <w:p>
            <w:pPr>
              <w:pBdr>
                <w:top w:val="nil"/>
                <w:left w:val="nil"/>
                <w:bottom w:val="nil"/>
                <w:right w:val="nil"/>
                <w:between w:val="nil"/>
              </w:pBdr>
              <w:spacing w:after="200" w:line="276" w:lineRule="auto"/>
              <w:jc w:val="both"/>
              <w:rPr>
                <w:rFonts w:ascii="Times New Roman" w:eastAsia="Times New Roman" w:hAnsi="Times New Roman"/>
                <w:b/>
                <w:color w:val="auto"/>
              </w:rPr>
            </w:pPr>
            <w:r>
              <w:rPr>
                <w:rFonts w:ascii="Times New Roman" w:eastAsia="Times New Roman" w:hAnsi="Times New Roman"/>
                <w:b/>
                <w:color w:val="auto"/>
              </w:rPr>
              <w:t>Düşük</w:t>
            </w:r>
          </w:p>
        </w:tc>
        <w:tc>
          <w:tcPr>
            <w:tcW w:w="1134" w:type="dxa"/>
            <w:shd w:val="clear" w:color="auto" w:fill="EDEDED" w:themeFill="accent3" w:themeFillTint="33"/>
            <w:vAlign w:val="center"/>
          </w:tcPr>
          <w:p>
            <w:pPr>
              <w:pBdr>
                <w:top w:val="nil"/>
                <w:left w:val="nil"/>
                <w:bottom w:val="nil"/>
                <w:right w:val="nil"/>
                <w:between w:val="nil"/>
              </w:pBdr>
              <w:spacing w:after="200" w:line="276" w:lineRule="auto"/>
              <w:jc w:val="center"/>
              <w:rPr>
                <w:rFonts w:ascii="Times New Roman" w:eastAsia="Times New Roman" w:hAnsi="Times New Roman"/>
                <w:b/>
                <w:color w:val="auto"/>
              </w:rPr>
            </w:pPr>
            <w:r>
              <w:rPr>
                <w:rFonts w:ascii="Times New Roman" w:eastAsia="Times New Roman" w:hAnsi="Times New Roman"/>
                <w:b/>
                <w:color w:val="auto"/>
              </w:rPr>
              <w:t>2</w:t>
            </w:r>
          </w:p>
        </w:tc>
        <w:tc>
          <w:tcPr>
            <w:tcW w:w="7087" w:type="dxa"/>
            <w:shd w:val="clear" w:color="auto" w:fill="FFFFFF" w:themeFill="background1"/>
          </w:tcPr>
          <w:p>
            <w:pPr>
              <w:pBdr>
                <w:top w:val="nil"/>
                <w:left w:val="nil"/>
                <w:bottom w:val="nil"/>
                <w:right w:val="nil"/>
                <w:between w:val="nil"/>
              </w:pBdr>
              <w:spacing w:line="276" w:lineRule="auto"/>
              <w:rPr>
                <w:rFonts w:ascii="Times New Roman" w:eastAsia="Times New Roman" w:hAnsi="Times New Roman"/>
                <w:color w:val="auto"/>
              </w:rPr>
            </w:pPr>
            <w:r>
              <w:rPr>
                <w:rFonts w:ascii="Times New Roman" w:eastAsia="Times New Roman" w:hAnsi="Times New Roman"/>
                <w:color w:val="auto"/>
              </w:rPr>
              <w:t xml:space="preserve">Yılda en fazla 2 defa gerçekleşen risk ve uygunsuzluklar. </w:t>
            </w:r>
          </w:p>
          <w:p>
            <w:pPr>
              <w:pStyle w:val="ListeParagraf"/>
              <w:numPr>
                <w:ilvl w:val="0"/>
                <w:numId w:val="13"/>
              </w:numPr>
              <w:pBdr>
                <w:top w:val="nil"/>
                <w:left w:val="nil"/>
                <w:bottom w:val="nil"/>
                <w:right w:val="nil"/>
                <w:between w:val="nil"/>
              </w:pBdr>
              <w:ind w:left="175" w:hanging="141"/>
              <w:rPr>
                <w:rFonts w:ascii="Times New Roman" w:eastAsia="Times New Roman" w:hAnsi="Times New Roman"/>
                <w:color w:val="auto"/>
              </w:rPr>
            </w:pPr>
            <w:r>
              <w:rPr>
                <w:rFonts w:ascii="Times New Roman" w:eastAsia="Times New Roman" w:hAnsi="Times New Roman"/>
                <w:color w:val="auto"/>
              </w:rPr>
              <w:t xml:space="preserve">Risk durumu gerçekleşme ihtimali çok az ancak çok özel koşullar altında söz konusu olabilir. </w:t>
            </w:r>
          </w:p>
          <w:p>
            <w:pPr>
              <w:pStyle w:val="ListeParagraf"/>
              <w:numPr>
                <w:ilvl w:val="0"/>
                <w:numId w:val="13"/>
              </w:numPr>
              <w:pBdr>
                <w:top w:val="nil"/>
                <w:left w:val="nil"/>
                <w:bottom w:val="nil"/>
                <w:right w:val="nil"/>
                <w:between w:val="nil"/>
              </w:pBdr>
              <w:ind w:left="175" w:hanging="141"/>
              <w:rPr>
                <w:rFonts w:ascii="Times New Roman" w:eastAsia="Times New Roman" w:hAnsi="Times New Roman"/>
              </w:rPr>
            </w:pPr>
            <w:r>
              <w:rPr>
                <w:rFonts w:ascii="Times New Roman" w:eastAsia="Times New Roman" w:hAnsi="Times New Roman"/>
                <w:color w:val="auto"/>
              </w:rPr>
              <w:t>Benzer bölüm/süreçlerde ancak özel durumda gerçekleşti.</w:t>
            </w:r>
          </w:p>
        </w:tc>
      </w:tr>
      <w:tr>
        <w:trPr>
          <w:trHeight w:val="557"/>
        </w:trPr>
        <w:tc>
          <w:tcPr>
            <w:tcW w:w="1560" w:type="dxa"/>
            <w:shd w:val="clear" w:color="auto" w:fill="EDEDED" w:themeFill="accent3" w:themeFillTint="33"/>
            <w:vAlign w:val="center"/>
          </w:tcPr>
          <w:p>
            <w:pPr>
              <w:pBdr>
                <w:top w:val="nil"/>
                <w:left w:val="nil"/>
                <w:bottom w:val="nil"/>
                <w:right w:val="nil"/>
                <w:between w:val="nil"/>
              </w:pBdr>
              <w:spacing w:after="200" w:line="276" w:lineRule="auto"/>
              <w:jc w:val="both"/>
              <w:rPr>
                <w:rFonts w:ascii="Times New Roman" w:eastAsia="Times New Roman" w:hAnsi="Times New Roman"/>
                <w:b/>
                <w:color w:val="auto"/>
              </w:rPr>
            </w:pPr>
            <w:r>
              <w:rPr>
                <w:rFonts w:ascii="Times New Roman" w:eastAsia="Times New Roman" w:hAnsi="Times New Roman"/>
                <w:b/>
                <w:color w:val="auto"/>
              </w:rPr>
              <w:t>Orta</w:t>
            </w:r>
          </w:p>
        </w:tc>
        <w:tc>
          <w:tcPr>
            <w:tcW w:w="1134" w:type="dxa"/>
            <w:shd w:val="clear" w:color="auto" w:fill="EDEDED" w:themeFill="accent3" w:themeFillTint="33"/>
            <w:vAlign w:val="center"/>
          </w:tcPr>
          <w:p>
            <w:pPr>
              <w:pBdr>
                <w:top w:val="nil"/>
                <w:left w:val="nil"/>
                <w:bottom w:val="nil"/>
                <w:right w:val="nil"/>
                <w:between w:val="nil"/>
              </w:pBdr>
              <w:spacing w:after="200" w:line="276" w:lineRule="auto"/>
              <w:jc w:val="center"/>
              <w:rPr>
                <w:rFonts w:ascii="Times New Roman" w:eastAsia="Times New Roman" w:hAnsi="Times New Roman"/>
                <w:b/>
                <w:color w:val="auto"/>
              </w:rPr>
            </w:pPr>
            <w:r>
              <w:rPr>
                <w:rFonts w:ascii="Times New Roman" w:eastAsia="Times New Roman" w:hAnsi="Times New Roman"/>
                <w:b/>
                <w:color w:val="auto"/>
              </w:rPr>
              <w:t>3</w:t>
            </w:r>
          </w:p>
        </w:tc>
        <w:tc>
          <w:tcPr>
            <w:tcW w:w="7087" w:type="dxa"/>
            <w:shd w:val="clear" w:color="auto" w:fill="FFFFFF" w:themeFill="background1"/>
          </w:tcPr>
          <w:p>
            <w:pPr>
              <w:pBdr>
                <w:top w:val="nil"/>
                <w:left w:val="nil"/>
                <w:bottom w:val="nil"/>
                <w:right w:val="nil"/>
                <w:between w:val="nil"/>
              </w:pBdr>
              <w:spacing w:line="276" w:lineRule="auto"/>
              <w:rPr>
                <w:rFonts w:ascii="Times New Roman" w:eastAsia="Times New Roman" w:hAnsi="Times New Roman"/>
                <w:color w:val="auto"/>
              </w:rPr>
            </w:pPr>
            <w:r>
              <w:rPr>
                <w:rFonts w:ascii="Times New Roman" w:eastAsia="Times New Roman" w:hAnsi="Times New Roman"/>
                <w:color w:val="auto"/>
              </w:rPr>
              <w:t xml:space="preserve">Yılda en fazla 3 defa gerçekleşen risk ve uygunsuzluklar. </w:t>
            </w:r>
          </w:p>
          <w:p>
            <w:pPr>
              <w:pStyle w:val="ListeParagraf"/>
              <w:numPr>
                <w:ilvl w:val="0"/>
                <w:numId w:val="12"/>
              </w:numPr>
              <w:pBdr>
                <w:top w:val="nil"/>
                <w:left w:val="nil"/>
                <w:bottom w:val="nil"/>
                <w:right w:val="nil"/>
                <w:between w:val="nil"/>
              </w:pBdr>
              <w:ind w:left="175" w:hanging="141"/>
              <w:rPr>
                <w:rFonts w:ascii="Times New Roman" w:eastAsia="Times New Roman" w:hAnsi="Times New Roman"/>
                <w:color w:val="auto"/>
              </w:rPr>
            </w:pPr>
            <w:r>
              <w:rPr>
                <w:rFonts w:ascii="Times New Roman" w:eastAsia="Times New Roman" w:hAnsi="Times New Roman"/>
                <w:color w:val="auto"/>
              </w:rPr>
              <w:t xml:space="preserve">Risk ancak belirli durumlarda gerçekleşebilir. </w:t>
            </w:r>
          </w:p>
          <w:p>
            <w:pPr>
              <w:pStyle w:val="ListeParagraf"/>
              <w:numPr>
                <w:ilvl w:val="0"/>
                <w:numId w:val="12"/>
              </w:numPr>
              <w:pBdr>
                <w:top w:val="nil"/>
                <w:left w:val="nil"/>
                <w:bottom w:val="nil"/>
                <w:right w:val="nil"/>
                <w:between w:val="nil"/>
              </w:pBdr>
              <w:ind w:left="175" w:hanging="141"/>
              <w:rPr>
                <w:rFonts w:ascii="Times New Roman" w:eastAsia="Times New Roman" w:hAnsi="Times New Roman"/>
                <w:color w:val="auto"/>
              </w:rPr>
            </w:pPr>
            <w:r>
              <w:rPr>
                <w:rFonts w:ascii="Times New Roman" w:eastAsia="Times New Roman" w:hAnsi="Times New Roman"/>
                <w:color w:val="auto"/>
              </w:rPr>
              <w:t xml:space="preserve">Benzer bölüm/süreçlerde belirli durumda gerçekleşti. </w:t>
            </w:r>
          </w:p>
          <w:p>
            <w:pPr>
              <w:pStyle w:val="ListeParagraf"/>
              <w:numPr>
                <w:ilvl w:val="0"/>
                <w:numId w:val="12"/>
              </w:numPr>
              <w:pBdr>
                <w:top w:val="nil"/>
                <w:left w:val="nil"/>
                <w:bottom w:val="nil"/>
                <w:right w:val="nil"/>
                <w:between w:val="nil"/>
              </w:pBdr>
              <w:ind w:left="175" w:hanging="141"/>
              <w:rPr>
                <w:rFonts w:ascii="Times New Roman" w:eastAsia="Times New Roman" w:hAnsi="Times New Roman"/>
              </w:rPr>
            </w:pPr>
            <w:r>
              <w:rPr>
                <w:rFonts w:ascii="Times New Roman" w:eastAsia="Times New Roman" w:hAnsi="Times New Roman"/>
                <w:color w:val="auto"/>
              </w:rPr>
              <w:t>Ortam gerçekleşmesi için uygun olabilir.</w:t>
            </w:r>
          </w:p>
        </w:tc>
      </w:tr>
      <w:tr>
        <w:trPr>
          <w:trHeight w:val="552"/>
        </w:trPr>
        <w:tc>
          <w:tcPr>
            <w:tcW w:w="1560" w:type="dxa"/>
            <w:shd w:val="clear" w:color="auto" w:fill="EDEDED" w:themeFill="accent3" w:themeFillTint="33"/>
            <w:vAlign w:val="center"/>
          </w:tcPr>
          <w:p>
            <w:pPr>
              <w:pBdr>
                <w:top w:val="nil"/>
                <w:left w:val="nil"/>
                <w:bottom w:val="nil"/>
                <w:right w:val="nil"/>
                <w:between w:val="nil"/>
              </w:pBdr>
              <w:spacing w:after="200" w:line="276" w:lineRule="auto"/>
              <w:jc w:val="both"/>
              <w:rPr>
                <w:rFonts w:ascii="Times New Roman" w:eastAsia="Times New Roman" w:hAnsi="Times New Roman"/>
                <w:b/>
                <w:color w:val="auto"/>
              </w:rPr>
            </w:pPr>
            <w:r>
              <w:rPr>
                <w:rFonts w:ascii="Times New Roman" w:eastAsia="Times New Roman" w:hAnsi="Times New Roman"/>
                <w:b/>
                <w:color w:val="auto"/>
              </w:rPr>
              <w:t>Yüksek</w:t>
            </w:r>
          </w:p>
        </w:tc>
        <w:tc>
          <w:tcPr>
            <w:tcW w:w="1134" w:type="dxa"/>
            <w:shd w:val="clear" w:color="auto" w:fill="EDEDED" w:themeFill="accent3" w:themeFillTint="33"/>
            <w:vAlign w:val="center"/>
          </w:tcPr>
          <w:p>
            <w:pPr>
              <w:pBdr>
                <w:top w:val="nil"/>
                <w:left w:val="nil"/>
                <w:bottom w:val="nil"/>
                <w:right w:val="nil"/>
                <w:between w:val="nil"/>
              </w:pBdr>
              <w:spacing w:after="200" w:line="276" w:lineRule="auto"/>
              <w:jc w:val="center"/>
              <w:rPr>
                <w:rFonts w:ascii="Times New Roman" w:eastAsia="Times New Roman" w:hAnsi="Times New Roman"/>
                <w:b/>
                <w:color w:val="auto"/>
              </w:rPr>
            </w:pPr>
            <w:r>
              <w:rPr>
                <w:rFonts w:ascii="Times New Roman" w:eastAsia="Times New Roman" w:hAnsi="Times New Roman"/>
                <w:b/>
                <w:color w:val="auto"/>
              </w:rPr>
              <w:t>4</w:t>
            </w:r>
          </w:p>
        </w:tc>
        <w:tc>
          <w:tcPr>
            <w:tcW w:w="7087" w:type="dxa"/>
            <w:shd w:val="clear" w:color="auto" w:fill="FFFFFF" w:themeFill="background1"/>
          </w:tcPr>
          <w:p>
            <w:pPr>
              <w:pBdr>
                <w:top w:val="nil"/>
                <w:left w:val="nil"/>
                <w:bottom w:val="nil"/>
                <w:right w:val="nil"/>
                <w:between w:val="nil"/>
              </w:pBdr>
              <w:spacing w:line="276" w:lineRule="auto"/>
              <w:rPr>
                <w:rFonts w:ascii="Times New Roman" w:eastAsia="Times New Roman" w:hAnsi="Times New Roman"/>
                <w:color w:val="auto"/>
              </w:rPr>
            </w:pPr>
            <w:r>
              <w:rPr>
                <w:rFonts w:ascii="Times New Roman" w:eastAsia="Times New Roman" w:hAnsi="Times New Roman"/>
                <w:color w:val="auto"/>
              </w:rPr>
              <w:t xml:space="preserve">Yılda en fazla 4 defa gerçekleşen risk ve uygunsuzluklar. </w:t>
            </w:r>
          </w:p>
          <w:p>
            <w:pPr>
              <w:pStyle w:val="ListeParagraf"/>
              <w:numPr>
                <w:ilvl w:val="0"/>
                <w:numId w:val="11"/>
              </w:numPr>
              <w:pBdr>
                <w:top w:val="nil"/>
                <w:left w:val="nil"/>
                <w:bottom w:val="nil"/>
                <w:right w:val="nil"/>
                <w:between w:val="nil"/>
              </w:pBdr>
              <w:ind w:left="175" w:hanging="141"/>
              <w:rPr>
                <w:rFonts w:ascii="Times New Roman" w:eastAsia="Times New Roman" w:hAnsi="Times New Roman"/>
                <w:color w:val="auto"/>
              </w:rPr>
            </w:pPr>
            <w:r>
              <w:rPr>
                <w:rFonts w:ascii="Times New Roman" w:eastAsia="Times New Roman" w:hAnsi="Times New Roman"/>
                <w:color w:val="auto"/>
              </w:rPr>
              <w:t xml:space="preserve">Risk durumu birçok kez gerçekleşti. </w:t>
            </w:r>
          </w:p>
          <w:p>
            <w:pPr>
              <w:pStyle w:val="ListeParagraf"/>
              <w:numPr>
                <w:ilvl w:val="0"/>
                <w:numId w:val="11"/>
              </w:numPr>
              <w:pBdr>
                <w:top w:val="nil"/>
                <w:left w:val="nil"/>
                <w:bottom w:val="nil"/>
                <w:right w:val="nil"/>
                <w:between w:val="nil"/>
              </w:pBdr>
              <w:ind w:left="175" w:hanging="141"/>
              <w:rPr>
                <w:rFonts w:ascii="Times New Roman" w:eastAsia="Times New Roman" w:hAnsi="Times New Roman"/>
                <w:color w:val="auto"/>
              </w:rPr>
            </w:pPr>
            <w:r>
              <w:rPr>
                <w:rFonts w:ascii="Times New Roman" w:eastAsia="Times New Roman" w:hAnsi="Times New Roman"/>
                <w:color w:val="auto"/>
              </w:rPr>
              <w:t xml:space="preserve">Risk durumu bazen gerçekleşti. </w:t>
            </w:r>
          </w:p>
          <w:p>
            <w:pPr>
              <w:pStyle w:val="ListeParagraf"/>
              <w:numPr>
                <w:ilvl w:val="0"/>
                <w:numId w:val="11"/>
              </w:numPr>
              <w:pBdr>
                <w:top w:val="nil"/>
                <w:left w:val="nil"/>
                <w:bottom w:val="nil"/>
                <w:right w:val="nil"/>
                <w:between w:val="nil"/>
              </w:pBdr>
              <w:ind w:left="175" w:hanging="141"/>
              <w:rPr>
                <w:rFonts w:ascii="Times New Roman" w:eastAsia="Times New Roman" w:hAnsi="Times New Roman"/>
              </w:rPr>
            </w:pPr>
            <w:r>
              <w:rPr>
                <w:rFonts w:ascii="Times New Roman" w:eastAsia="Times New Roman" w:hAnsi="Times New Roman"/>
                <w:color w:val="auto"/>
              </w:rPr>
              <w:t>Ortam gerçekleşmesi için son derece uygun.</w:t>
            </w:r>
          </w:p>
        </w:tc>
      </w:tr>
      <w:tr>
        <w:trPr>
          <w:trHeight w:val="559"/>
        </w:trPr>
        <w:tc>
          <w:tcPr>
            <w:tcW w:w="1560" w:type="dxa"/>
            <w:shd w:val="clear" w:color="auto" w:fill="EDEDED" w:themeFill="accent3" w:themeFillTint="33"/>
            <w:vAlign w:val="center"/>
          </w:tcPr>
          <w:p>
            <w:pPr>
              <w:pBdr>
                <w:top w:val="nil"/>
                <w:left w:val="nil"/>
                <w:bottom w:val="nil"/>
                <w:right w:val="nil"/>
                <w:between w:val="nil"/>
              </w:pBdr>
              <w:spacing w:after="200" w:line="276" w:lineRule="auto"/>
              <w:jc w:val="both"/>
              <w:rPr>
                <w:rFonts w:ascii="Times New Roman" w:eastAsia="Times New Roman" w:hAnsi="Times New Roman"/>
                <w:b/>
                <w:color w:val="auto"/>
              </w:rPr>
            </w:pPr>
            <w:r>
              <w:rPr>
                <w:rFonts w:ascii="Times New Roman" w:eastAsia="Times New Roman" w:hAnsi="Times New Roman"/>
                <w:b/>
                <w:color w:val="auto"/>
              </w:rPr>
              <w:t>Çok Yüksek</w:t>
            </w:r>
          </w:p>
        </w:tc>
        <w:tc>
          <w:tcPr>
            <w:tcW w:w="1134" w:type="dxa"/>
            <w:shd w:val="clear" w:color="auto" w:fill="EDEDED" w:themeFill="accent3" w:themeFillTint="33"/>
            <w:vAlign w:val="center"/>
          </w:tcPr>
          <w:p>
            <w:pPr>
              <w:pBdr>
                <w:top w:val="nil"/>
                <w:left w:val="nil"/>
                <w:bottom w:val="nil"/>
                <w:right w:val="nil"/>
                <w:between w:val="nil"/>
              </w:pBdr>
              <w:spacing w:after="200" w:line="276" w:lineRule="auto"/>
              <w:jc w:val="center"/>
              <w:rPr>
                <w:rFonts w:ascii="Times New Roman" w:eastAsia="Times New Roman" w:hAnsi="Times New Roman"/>
                <w:b/>
                <w:color w:val="auto"/>
              </w:rPr>
            </w:pPr>
            <w:r>
              <w:rPr>
                <w:rFonts w:ascii="Times New Roman" w:eastAsia="Times New Roman" w:hAnsi="Times New Roman"/>
                <w:b/>
                <w:color w:val="auto"/>
              </w:rPr>
              <w:t>5</w:t>
            </w:r>
          </w:p>
        </w:tc>
        <w:tc>
          <w:tcPr>
            <w:tcW w:w="7087" w:type="dxa"/>
            <w:shd w:val="clear" w:color="auto" w:fill="FFFFFF" w:themeFill="background1"/>
          </w:tcPr>
          <w:p>
            <w:pPr>
              <w:pBdr>
                <w:top w:val="nil"/>
                <w:left w:val="nil"/>
                <w:bottom w:val="nil"/>
                <w:right w:val="nil"/>
                <w:between w:val="nil"/>
              </w:pBdr>
              <w:spacing w:line="276" w:lineRule="auto"/>
              <w:rPr>
                <w:rFonts w:ascii="Times New Roman" w:eastAsia="Times New Roman" w:hAnsi="Times New Roman"/>
                <w:color w:val="auto"/>
              </w:rPr>
            </w:pPr>
            <w:r>
              <w:rPr>
                <w:rFonts w:ascii="Times New Roman" w:eastAsia="Times New Roman" w:hAnsi="Times New Roman"/>
                <w:color w:val="auto"/>
              </w:rPr>
              <w:t xml:space="preserve">Yılda en fazla 5 defa ve üzerinde tekrar eden risk ve uygunsuzluklar. </w:t>
            </w:r>
          </w:p>
          <w:p>
            <w:pPr>
              <w:pStyle w:val="ListeParagraf"/>
              <w:numPr>
                <w:ilvl w:val="0"/>
                <w:numId w:val="11"/>
              </w:numPr>
              <w:pBdr>
                <w:top w:val="nil"/>
                <w:left w:val="nil"/>
                <w:bottom w:val="nil"/>
                <w:right w:val="nil"/>
                <w:between w:val="nil"/>
              </w:pBdr>
              <w:ind w:left="175" w:hanging="141"/>
              <w:rPr>
                <w:rFonts w:ascii="Times New Roman" w:eastAsia="Times New Roman" w:hAnsi="Times New Roman"/>
              </w:rPr>
            </w:pPr>
            <w:r>
              <w:rPr>
                <w:rFonts w:ascii="Times New Roman" w:eastAsia="Times New Roman" w:hAnsi="Times New Roman"/>
                <w:color w:val="auto"/>
              </w:rPr>
              <w:t>Risk durumu birçok kez gerçekleşti şu anda da gerçekleşiyor.</w:t>
            </w:r>
          </w:p>
        </w:tc>
      </w:tr>
    </w:tbl>
    <w:p>
      <w:pPr>
        <w:pBdr>
          <w:top w:val="nil"/>
          <w:left w:val="nil"/>
          <w:bottom w:val="nil"/>
          <w:right w:val="nil"/>
          <w:between w:val="nil"/>
        </w:pBdr>
        <w:jc w:val="both"/>
        <w:rPr>
          <w:rFonts w:ascii="Times New Roman" w:eastAsia="Times New Roman" w:hAnsi="Times New Roman"/>
          <w:sz w:val="24"/>
          <w:szCs w:val="24"/>
        </w:rPr>
      </w:pPr>
    </w:p>
    <w:p>
      <w:pPr>
        <w:pBdr>
          <w:top w:val="nil"/>
          <w:left w:val="nil"/>
          <w:bottom w:val="nil"/>
          <w:right w:val="nil"/>
          <w:between w:val="nil"/>
        </w:pBdr>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Tablo 2. Riskin Etkisi / Derecesi    </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134"/>
        <w:gridCol w:w="7087"/>
      </w:tblGrid>
      <w:tr>
        <w:trPr>
          <w:trHeight w:val="412"/>
        </w:trPr>
        <w:tc>
          <w:tcPr>
            <w:tcW w:w="1560" w:type="dxa"/>
            <w:shd w:val="clear" w:color="auto" w:fill="C9C9C9" w:themeFill="accent3" w:themeFillTint="99"/>
          </w:tcPr>
          <w:p>
            <w:pPr>
              <w:tabs>
                <w:tab w:val="left" w:pos="6125"/>
              </w:tabs>
              <w:jc w:val="both"/>
              <w:rPr>
                <w:rFonts w:ascii="Times New Roman" w:eastAsia="Times New Roman" w:hAnsi="Times New Roman"/>
                <w:b/>
                <w:sz w:val="24"/>
                <w:szCs w:val="24"/>
              </w:rPr>
            </w:pPr>
            <w:r>
              <w:rPr>
                <w:rFonts w:ascii="Times New Roman" w:eastAsia="Times New Roman" w:hAnsi="Times New Roman"/>
                <w:b/>
                <w:sz w:val="24"/>
                <w:szCs w:val="24"/>
              </w:rPr>
              <w:t>ETKİ</w:t>
            </w:r>
          </w:p>
        </w:tc>
        <w:tc>
          <w:tcPr>
            <w:tcW w:w="1134" w:type="dxa"/>
            <w:shd w:val="clear" w:color="auto" w:fill="C9C9C9" w:themeFill="accent3" w:themeFillTint="99"/>
          </w:tcPr>
          <w:p>
            <w:pPr>
              <w:tabs>
                <w:tab w:val="left" w:pos="6125"/>
              </w:tabs>
              <w:jc w:val="both"/>
              <w:rPr>
                <w:rFonts w:ascii="Times New Roman" w:eastAsia="Times New Roman" w:hAnsi="Times New Roman"/>
                <w:b/>
                <w:sz w:val="24"/>
                <w:szCs w:val="24"/>
              </w:rPr>
            </w:pPr>
            <w:r>
              <w:rPr>
                <w:rFonts w:ascii="Times New Roman" w:eastAsia="Times New Roman" w:hAnsi="Times New Roman"/>
                <w:b/>
                <w:sz w:val="24"/>
                <w:szCs w:val="24"/>
              </w:rPr>
              <w:t>ŞİDDET</w:t>
            </w:r>
          </w:p>
        </w:tc>
        <w:tc>
          <w:tcPr>
            <w:tcW w:w="7087" w:type="dxa"/>
            <w:shd w:val="clear" w:color="auto" w:fill="C9C9C9" w:themeFill="accent3" w:themeFillTint="99"/>
          </w:tcPr>
          <w:p>
            <w:pPr>
              <w:tabs>
                <w:tab w:val="left" w:pos="6125"/>
              </w:tabs>
              <w:jc w:val="both"/>
              <w:rPr>
                <w:rFonts w:ascii="Times New Roman" w:eastAsia="Times New Roman" w:hAnsi="Times New Roman"/>
                <w:b/>
                <w:sz w:val="24"/>
                <w:szCs w:val="24"/>
              </w:rPr>
            </w:pPr>
            <w:r>
              <w:rPr>
                <w:rFonts w:ascii="Times New Roman" w:eastAsia="Times New Roman" w:hAnsi="Times New Roman"/>
                <w:b/>
                <w:sz w:val="24"/>
                <w:szCs w:val="24"/>
              </w:rPr>
              <w:t>TANIM</w:t>
            </w:r>
          </w:p>
        </w:tc>
      </w:tr>
      <w:tr>
        <w:trPr>
          <w:trHeight w:val="765"/>
        </w:trPr>
        <w:tc>
          <w:tcPr>
            <w:tcW w:w="1560" w:type="dxa"/>
            <w:shd w:val="clear" w:color="auto" w:fill="EDEDED" w:themeFill="accent3" w:themeFillTint="33"/>
            <w:vAlign w:val="center"/>
          </w:tcPr>
          <w:p>
            <w:pPr>
              <w:spacing w:after="0"/>
              <w:rPr>
                <w:rFonts w:ascii="Times New Roman" w:eastAsia="Times New Roman" w:hAnsi="Times New Roman"/>
                <w:b/>
                <w:color w:val="000000"/>
              </w:rPr>
            </w:pPr>
            <w:r>
              <w:rPr>
                <w:rFonts w:ascii="Times New Roman" w:eastAsia="Times New Roman" w:hAnsi="Times New Roman"/>
                <w:b/>
                <w:color w:val="000000"/>
              </w:rPr>
              <w:t>İhmal Edilebilir</w:t>
            </w:r>
          </w:p>
        </w:tc>
        <w:tc>
          <w:tcPr>
            <w:tcW w:w="1134" w:type="dxa"/>
            <w:shd w:val="clear" w:color="auto" w:fill="EDEDED" w:themeFill="accent3" w:themeFillTint="33"/>
            <w:vAlign w:val="center"/>
          </w:tcPr>
          <w:p>
            <w:pPr>
              <w:spacing w:after="0"/>
              <w:jc w:val="center"/>
              <w:rPr>
                <w:rFonts w:ascii="Times New Roman" w:eastAsia="Times New Roman" w:hAnsi="Times New Roman"/>
                <w:b/>
                <w:color w:val="000000"/>
              </w:rPr>
            </w:pPr>
            <w:r>
              <w:rPr>
                <w:rFonts w:ascii="Times New Roman" w:eastAsia="Times New Roman" w:hAnsi="Times New Roman"/>
                <w:b/>
                <w:color w:val="000000"/>
              </w:rPr>
              <w:t>1</w:t>
            </w:r>
          </w:p>
        </w:tc>
        <w:tc>
          <w:tcPr>
            <w:tcW w:w="7087" w:type="dxa"/>
            <w:shd w:val="clear" w:color="auto" w:fill="auto"/>
            <w:vAlign w:val="center"/>
          </w:tcPr>
          <w:p>
            <w:pPr>
              <w:spacing w:after="0"/>
              <w:jc w:val="both"/>
              <w:rPr>
                <w:rFonts w:ascii="Times New Roman" w:eastAsia="Times New Roman" w:hAnsi="Times New Roman"/>
                <w:b/>
                <w:color w:val="000000"/>
                <w:u w:val="single"/>
              </w:rPr>
            </w:pPr>
            <w:r>
              <w:rPr>
                <w:rFonts w:ascii="Times New Roman" w:eastAsia="Times New Roman" w:hAnsi="Times New Roman"/>
                <w:color w:val="000000"/>
              </w:rPr>
              <w:t>- Herhangi bir yönetim gerektirmeyen önemsiz risklerin etkisini ifade eder. Süreç ve bağlı süreçleri doğrudan veya dolaylı şekilde etkilemez.</w:t>
            </w:r>
          </w:p>
        </w:tc>
      </w:tr>
      <w:tr>
        <w:trPr>
          <w:trHeight w:val="759"/>
        </w:trPr>
        <w:tc>
          <w:tcPr>
            <w:tcW w:w="1560" w:type="dxa"/>
            <w:shd w:val="clear" w:color="auto" w:fill="EDEDED" w:themeFill="accent3" w:themeFillTint="33"/>
            <w:vAlign w:val="center"/>
          </w:tcPr>
          <w:p>
            <w:pPr>
              <w:spacing w:after="0"/>
              <w:rPr>
                <w:rFonts w:ascii="Times New Roman" w:eastAsia="Times New Roman" w:hAnsi="Times New Roman"/>
                <w:b/>
                <w:color w:val="000000"/>
              </w:rPr>
            </w:pPr>
            <w:r>
              <w:rPr>
                <w:rFonts w:ascii="Times New Roman" w:eastAsia="Times New Roman" w:hAnsi="Times New Roman"/>
                <w:b/>
                <w:color w:val="000000"/>
              </w:rPr>
              <w:t>Dikkate Değer</w:t>
            </w:r>
          </w:p>
        </w:tc>
        <w:tc>
          <w:tcPr>
            <w:tcW w:w="1134" w:type="dxa"/>
            <w:shd w:val="clear" w:color="auto" w:fill="EDEDED" w:themeFill="accent3" w:themeFillTint="33"/>
            <w:vAlign w:val="center"/>
          </w:tcPr>
          <w:p>
            <w:pPr>
              <w:spacing w:after="0"/>
              <w:jc w:val="center"/>
              <w:rPr>
                <w:rFonts w:ascii="Times New Roman" w:eastAsia="Times New Roman" w:hAnsi="Times New Roman"/>
                <w:b/>
                <w:color w:val="000000"/>
              </w:rPr>
            </w:pPr>
            <w:r>
              <w:rPr>
                <w:rFonts w:ascii="Times New Roman" w:eastAsia="Times New Roman" w:hAnsi="Times New Roman"/>
                <w:b/>
                <w:color w:val="000000"/>
              </w:rPr>
              <w:t>2</w:t>
            </w:r>
          </w:p>
        </w:tc>
        <w:tc>
          <w:tcPr>
            <w:tcW w:w="7087" w:type="dxa"/>
            <w:shd w:val="clear" w:color="auto" w:fill="auto"/>
            <w:vAlign w:val="center"/>
          </w:tcPr>
          <w:p>
            <w:pPr>
              <w:spacing w:after="0"/>
              <w:jc w:val="both"/>
              <w:rPr>
                <w:rFonts w:ascii="Times New Roman" w:eastAsia="Times New Roman" w:hAnsi="Times New Roman"/>
                <w:b/>
                <w:color w:val="000000"/>
                <w:u w:val="single"/>
              </w:rPr>
            </w:pPr>
            <w:r>
              <w:rPr>
                <w:rFonts w:ascii="Times New Roman" w:eastAsia="Times New Roman" w:hAnsi="Times New Roman"/>
                <w:b/>
                <w:color w:val="000000"/>
              </w:rPr>
              <w:t>-</w:t>
            </w:r>
            <w:r>
              <w:rPr>
                <w:rFonts w:ascii="Times New Roman" w:eastAsia="Times New Roman" w:hAnsi="Times New Roman"/>
                <w:color w:val="000000"/>
              </w:rPr>
              <w:t xml:space="preserve"> İlgili süreci doğrudan etkilemeyen ancak dolaylı yoldan etkileyen risk şiddetidir.</w:t>
            </w:r>
          </w:p>
        </w:tc>
      </w:tr>
      <w:tr>
        <w:trPr>
          <w:trHeight w:val="887"/>
        </w:trPr>
        <w:tc>
          <w:tcPr>
            <w:tcW w:w="1560" w:type="dxa"/>
            <w:shd w:val="clear" w:color="auto" w:fill="EDEDED" w:themeFill="accent3" w:themeFillTint="33"/>
            <w:vAlign w:val="center"/>
          </w:tcPr>
          <w:p>
            <w:pPr>
              <w:spacing w:after="0"/>
              <w:rPr>
                <w:rFonts w:ascii="Times New Roman" w:eastAsia="Times New Roman" w:hAnsi="Times New Roman"/>
                <w:b/>
                <w:color w:val="000000"/>
              </w:rPr>
            </w:pPr>
            <w:r>
              <w:rPr>
                <w:rFonts w:ascii="Times New Roman" w:eastAsia="Times New Roman" w:hAnsi="Times New Roman"/>
                <w:b/>
                <w:color w:val="000000"/>
              </w:rPr>
              <w:t>Orta Derecede Önemli</w:t>
            </w:r>
          </w:p>
        </w:tc>
        <w:tc>
          <w:tcPr>
            <w:tcW w:w="1134" w:type="dxa"/>
            <w:shd w:val="clear" w:color="auto" w:fill="EDEDED" w:themeFill="accent3" w:themeFillTint="33"/>
            <w:vAlign w:val="center"/>
          </w:tcPr>
          <w:p>
            <w:pPr>
              <w:spacing w:after="0"/>
              <w:jc w:val="center"/>
              <w:rPr>
                <w:rFonts w:ascii="Times New Roman" w:eastAsia="Times New Roman" w:hAnsi="Times New Roman"/>
                <w:b/>
                <w:color w:val="000000"/>
              </w:rPr>
            </w:pPr>
            <w:r>
              <w:rPr>
                <w:rFonts w:ascii="Times New Roman" w:eastAsia="Times New Roman" w:hAnsi="Times New Roman"/>
                <w:b/>
                <w:color w:val="000000"/>
              </w:rPr>
              <w:t>3</w:t>
            </w:r>
          </w:p>
          <w:p>
            <w:pPr>
              <w:spacing w:after="0"/>
              <w:jc w:val="center"/>
              <w:rPr>
                <w:rFonts w:ascii="Times New Roman" w:eastAsia="Times New Roman" w:hAnsi="Times New Roman"/>
                <w:b/>
                <w:color w:val="000000"/>
              </w:rPr>
            </w:pPr>
          </w:p>
        </w:tc>
        <w:tc>
          <w:tcPr>
            <w:tcW w:w="7087" w:type="dxa"/>
            <w:shd w:val="clear" w:color="auto" w:fill="auto"/>
            <w:vAlign w:val="center"/>
          </w:tcPr>
          <w:p>
            <w:pPr>
              <w:spacing w:after="0"/>
              <w:jc w:val="both"/>
              <w:rPr>
                <w:rFonts w:ascii="Times New Roman" w:eastAsia="Times New Roman" w:hAnsi="Times New Roman"/>
                <w:b/>
                <w:color w:val="000000"/>
                <w:u w:val="single"/>
              </w:rPr>
            </w:pPr>
            <w:r>
              <w:rPr>
                <w:rFonts w:ascii="Times New Roman" w:eastAsia="Times New Roman" w:hAnsi="Times New Roman"/>
                <w:color w:val="000000"/>
              </w:rPr>
              <w:t>- Mutlaka izlenmesi ve kontrol altında tutulması gereken doğrudan ya da dolaylı yollardan sürecin işleyişini her an aksatabilecek TEHDİT düzeyindeki risk şiddetidir. Kontrol altında tutulup izlenmesi gerekmekle birlikte gerekiyorsa yönetim planı geliştirilir.</w:t>
            </w:r>
          </w:p>
        </w:tc>
      </w:tr>
      <w:tr>
        <w:trPr>
          <w:trHeight w:val="759"/>
        </w:trPr>
        <w:tc>
          <w:tcPr>
            <w:tcW w:w="1560" w:type="dxa"/>
            <w:shd w:val="clear" w:color="auto" w:fill="EDEDED" w:themeFill="accent3" w:themeFillTint="33"/>
            <w:vAlign w:val="center"/>
          </w:tcPr>
          <w:p>
            <w:pPr>
              <w:rPr>
                <w:rFonts w:ascii="Times New Roman" w:eastAsia="Times New Roman" w:hAnsi="Times New Roman"/>
                <w:b/>
                <w:color w:val="000000"/>
              </w:rPr>
            </w:pPr>
            <w:r>
              <w:rPr>
                <w:rFonts w:ascii="Times New Roman" w:eastAsia="Times New Roman" w:hAnsi="Times New Roman"/>
                <w:b/>
                <w:color w:val="000000"/>
              </w:rPr>
              <w:t>Önemli</w:t>
            </w:r>
          </w:p>
        </w:tc>
        <w:tc>
          <w:tcPr>
            <w:tcW w:w="1134" w:type="dxa"/>
            <w:shd w:val="clear" w:color="auto" w:fill="EDEDED" w:themeFill="accent3" w:themeFillTint="33"/>
            <w:vAlign w:val="center"/>
          </w:tcPr>
          <w:p>
            <w:pPr>
              <w:spacing w:after="0"/>
              <w:jc w:val="center"/>
              <w:rPr>
                <w:rFonts w:ascii="Times New Roman" w:eastAsia="Times New Roman" w:hAnsi="Times New Roman"/>
                <w:b/>
                <w:color w:val="000000"/>
              </w:rPr>
            </w:pPr>
            <w:r>
              <w:rPr>
                <w:rFonts w:ascii="Times New Roman" w:eastAsia="Times New Roman" w:hAnsi="Times New Roman"/>
                <w:b/>
                <w:color w:val="000000"/>
              </w:rPr>
              <w:t>4</w:t>
            </w:r>
          </w:p>
          <w:p>
            <w:pPr>
              <w:jc w:val="center"/>
              <w:rPr>
                <w:rFonts w:ascii="Times New Roman" w:eastAsia="Times New Roman" w:hAnsi="Times New Roman"/>
                <w:b/>
                <w:color w:val="000000"/>
              </w:rPr>
            </w:pPr>
          </w:p>
        </w:tc>
        <w:tc>
          <w:tcPr>
            <w:tcW w:w="7087" w:type="dxa"/>
            <w:shd w:val="clear" w:color="auto" w:fill="auto"/>
            <w:vAlign w:val="center"/>
          </w:tcPr>
          <w:p>
            <w:pPr>
              <w:jc w:val="both"/>
              <w:rPr>
                <w:rFonts w:ascii="Times New Roman" w:eastAsia="Times New Roman" w:hAnsi="Times New Roman"/>
                <w:b/>
                <w:color w:val="000000"/>
                <w:u w:val="single"/>
              </w:rPr>
            </w:pPr>
            <w:r>
              <w:rPr>
                <w:rFonts w:ascii="Times New Roman" w:eastAsia="Times New Roman" w:hAnsi="Times New Roman"/>
                <w:color w:val="000000"/>
              </w:rPr>
              <w:t>- Mutlaka yönetim alınmasını gerektiren süreçlerinin en az %30 ve üzeri seviyede işlerini aksatan hatta durma noktasına getiren doğrudan veya dolaylı risklerdir.</w:t>
            </w:r>
          </w:p>
        </w:tc>
      </w:tr>
      <w:tr>
        <w:trPr>
          <w:trHeight w:val="857"/>
        </w:trPr>
        <w:tc>
          <w:tcPr>
            <w:tcW w:w="1560" w:type="dxa"/>
            <w:shd w:val="clear" w:color="auto" w:fill="EDEDED" w:themeFill="accent3" w:themeFillTint="33"/>
            <w:vAlign w:val="center"/>
          </w:tcPr>
          <w:p>
            <w:pPr>
              <w:spacing w:after="0"/>
              <w:rPr>
                <w:rFonts w:ascii="Times New Roman" w:eastAsia="Times New Roman" w:hAnsi="Times New Roman"/>
                <w:b/>
                <w:color w:val="000000"/>
              </w:rPr>
            </w:pPr>
            <w:r>
              <w:rPr>
                <w:rFonts w:ascii="Times New Roman" w:eastAsia="Times New Roman" w:hAnsi="Times New Roman"/>
                <w:b/>
                <w:color w:val="000000"/>
              </w:rPr>
              <w:t>Kritik</w:t>
            </w:r>
          </w:p>
        </w:tc>
        <w:tc>
          <w:tcPr>
            <w:tcW w:w="1134" w:type="dxa"/>
            <w:shd w:val="clear" w:color="auto" w:fill="EDEDED" w:themeFill="accent3" w:themeFillTint="33"/>
            <w:vAlign w:val="center"/>
          </w:tcPr>
          <w:p>
            <w:pPr>
              <w:spacing w:after="0"/>
              <w:jc w:val="center"/>
              <w:rPr>
                <w:rFonts w:ascii="Times New Roman" w:eastAsia="Times New Roman" w:hAnsi="Times New Roman"/>
                <w:b/>
                <w:color w:val="000000"/>
              </w:rPr>
            </w:pPr>
            <w:r>
              <w:rPr>
                <w:rFonts w:ascii="Times New Roman" w:eastAsia="Times New Roman" w:hAnsi="Times New Roman"/>
                <w:b/>
                <w:color w:val="000000"/>
              </w:rPr>
              <w:t>5</w:t>
            </w:r>
          </w:p>
          <w:p>
            <w:pPr>
              <w:jc w:val="both"/>
              <w:rPr>
                <w:rFonts w:ascii="Times New Roman" w:eastAsia="Times New Roman" w:hAnsi="Times New Roman"/>
                <w:b/>
                <w:color w:val="000000"/>
              </w:rPr>
            </w:pPr>
          </w:p>
        </w:tc>
        <w:tc>
          <w:tcPr>
            <w:tcW w:w="7087" w:type="dxa"/>
            <w:shd w:val="clear" w:color="auto" w:fill="auto"/>
            <w:vAlign w:val="center"/>
          </w:tcPr>
          <w:p>
            <w:pPr>
              <w:jc w:val="both"/>
              <w:rPr>
                <w:rFonts w:ascii="Times New Roman" w:eastAsia="Times New Roman" w:hAnsi="Times New Roman"/>
                <w:color w:val="000000"/>
              </w:rPr>
            </w:pPr>
            <w:r>
              <w:rPr>
                <w:rFonts w:ascii="Times New Roman" w:eastAsia="Times New Roman" w:hAnsi="Times New Roman"/>
                <w:color w:val="000000"/>
              </w:rPr>
              <w:t>- Kesinlikle ve acil olarak müdahale gerektiren risk şiddetidir. Süreçlerin işleyişini %80 ve üzerinde seviyede engelleyen gerçekleşmesi kabul edilemez risk puanıdır.</w:t>
            </w:r>
          </w:p>
        </w:tc>
      </w:tr>
    </w:tbl>
    <w:p>
      <w:pPr>
        <w:pBdr>
          <w:top w:val="nil"/>
          <w:left w:val="nil"/>
          <w:bottom w:val="nil"/>
          <w:right w:val="nil"/>
          <w:between w:val="nil"/>
        </w:pBdr>
        <w:spacing w:before="240"/>
        <w:jc w:val="both"/>
        <w:rPr>
          <w:rFonts w:ascii="Times New Roman" w:eastAsia="Times New Roman" w:hAnsi="Times New Roman"/>
          <w:bCs/>
          <w:color w:val="000000"/>
          <w:sz w:val="24"/>
          <w:szCs w:val="24"/>
        </w:rPr>
      </w:pPr>
    </w:p>
    <w:p>
      <w:pPr>
        <w:pStyle w:val="ListeParagraf"/>
        <w:numPr>
          <w:ilvl w:val="1"/>
          <w:numId w:val="1"/>
        </w:numPr>
        <w:pBdr>
          <w:top w:val="nil"/>
          <w:left w:val="nil"/>
          <w:bottom w:val="nil"/>
          <w:right w:val="nil"/>
          <w:between w:val="nil"/>
        </w:pBdr>
        <w:jc w:val="both"/>
        <w:rPr>
          <w:rFonts w:ascii="Times New Roman" w:eastAsia="Times New Roman" w:hAnsi="Times New Roman"/>
          <w:b/>
          <w:sz w:val="24"/>
          <w:szCs w:val="24"/>
        </w:rPr>
      </w:pPr>
      <w:r>
        <w:rPr>
          <w:rFonts w:ascii="Times New Roman" w:eastAsia="Times New Roman" w:hAnsi="Times New Roman"/>
          <w:b/>
          <w:sz w:val="24"/>
          <w:szCs w:val="24"/>
        </w:rPr>
        <w:lastRenderedPageBreak/>
        <w:t>Risk Hesaplama</w:t>
      </w:r>
    </w:p>
    <w:p>
      <w:pPr>
        <w:pBdr>
          <w:top w:val="nil"/>
          <w:left w:val="nil"/>
          <w:bottom w:val="nil"/>
          <w:right w:val="nil"/>
          <w:between w:val="nil"/>
        </w:pBdr>
        <w:spacing w:after="0"/>
        <w:jc w:val="both"/>
        <w:rPr>
          <w:rFonts w:ascii="Times New Roman" w:eastAsia="Times New Roman" w:hAnsi="Times New Roman"/>
          <w:color w:val="0066FF"/>
          <w:sz w:val="24"/>
          <w:szCs w:val="24"/>
        </w:rPr>
      </w:pPr>
      <w:r>
        <w:rPr>
          <w:rFonts w:ascii="Times New Roman" w:eastAsia="Times New Roman" w:hAnsi="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16510</wp:posOffset>
                </wp:positionH>
                <wp:positionV relativeFrom="paragraph">
                  <wp:posOffset>232571</wp:posOffset>
                </wp:positionV>
                <wp:extent cx="3987800" cy="596900"/>
                <wp:effectExtent l="0" t="0" r="12700" b="12700"/>
                <wp:wrapNone/>
                <wp:docPr id="1" name="Dikdörtgen 1"/>
                <wp:cNvGraphicFramePr/>
                <a:graphic xmlns:a="http://schemas.openxmlformats.org/drawingml/2006/main">
                  <a:graphicData uri="http://schemas.microsoft.com/office/word/2010/wordprocessingShape">
                    <wps:wsp>
                      <wps:cNvSpPr/>
                      <wps:spPr>
                        <a:xfrm>
                          <a:off x="0" y="0"/>
                          <a:ext cx="3987800" cy="596900"/>
                        </a:xfrm>
                        <a:prstGeom prst="rect">
                          <a:avLst/>
                        </a:prstGeom>
                        <a:solidFill>
                          <a:schemeClr val="accent1">
                            <a:lumMod val="20000"/>
                            <a:lumOff val="80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id="Dikdörtgen 1" o:spid="_x0000_s1026" style="position:absolute;margin-left:1.3pt;margin-top:18.3pt;width:314pt;height: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" fillcolor="#deeaf6 [660]" strokecolor="#d8d8d8 [2732]" strokeweight="1pt"/>
            </w:pict>
          </mc:Fallback>
        </mc:AlternateContent>
      </w:r>
      <w:r>
        <w:rPr>
          <w:rFonts w:ascii="Times New Roman" w:eastAsia="Times New Roman" w:hAnsi="Times New Roman"/>
          <w:noProof/>
          <w:sz w:val="24"/>
          <w:szCs w:val="24"/>
        </w:rPr>
        <mc:AlternateContent>
          <mc:Choice Requires="wps">
            <w:drawing>
              <wp:anchor distT="91440" distB="91440" distL="114300" distR="114300" simplePos="0" relativeHeight="251661312" behindDoc="0" locked="0" layoutInCell="1" allowOverlap="1">
                <wp:simplePos x="0" y="0"/>
                <wp:positionH relativeFrom="page">
                  <wp:posOffset>1043940</wp:posOffset>
                </wp:positionH>
                <wp:positionV relativeFrom="paragraph">
                  <wp:posOffset>278130</wp:posOffset>
                </wp:positionV>
                <wp:extent cx="3745865" cy="1403985"/>
                <wp:effectExtent l="0" t="0" r="0" b="0"/>
                <wp:wrapTopAndBottom/>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5865" cy="1403985"/>
                        </a:xfrm>
                        <a:prstGeom prst="rect">
                          <a:avLst/>
                        </a:prstGeom>
                        <a:noFill/>
                        <a:ln w="9525">
                          <a:noFill/>
                          <a:miter lim="800000"/>
                          <a:headEnd/>
                          <a:tailEnd/>
                        </a:ln>
                      </wps:spPr>
                      <wps:txbx>
                        <w:txbxContent>
                          <w:p>
                            <w:pPr>
                              <w:pBdr>
                                <w:top w:val="single" w:sz="24" w:space="8" w:color="5B9BD5" w:themeColor="accent1"/>
                                <w:bottom w:val="single" w:sz="24" w:space="8" w:color="5B9BD5" w:themeColor="accent1"/>
                              </w:pBdr>
                              <w:spacing w:after="0"/>
                              <w:rPr>
                                <w:i/>
                                <w:iCs/>
                                <w:color w:val="5B9BD5" w:themeColor="accent1"/>
                                <w:sz w:val="24"/>
                              </w:rPr>
                            </w:pPr>
                            <w:r>
                              <w:rPr>
                                <w:b/>
                                <w:i/>
                                <w:iCs/>
                                <w:color w:val="5B9BD5" w:themeColor="accent1"/>
                                <w:sz w:val="24"/>
                                <w:szCs w:val="24"/>
                              </w:rPr>
                              <w:t>RİSKİN OLASILIĞI X RİSKİN ETKİSİ = RİSK PUANI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Metin Kutusu 2" o:spid="_x0000_s1026" type="#_x0000_t202" style="position:absolute;left:0;text-align:left;margin-left:82.2pt;margin-top:21.9pt;width:294.95pt;height:110.55pt;z-index:251661312;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" filled="f" stroked="f">
                <v:textbox style="mso-fit-shape-to-text:t">
                  <w:txbxContent>
                    <w:p w:rsidR="007412D9" w:rsidRDefault="00CF3F3F">
                      <w:pPr>
                        <w:pBdr>
                          <w:top w:val="single" w:sz="24" w:space="8" w:color="5B9BD5" w:themeColor="accent1"/>
                          <w:bottom w:val="single" w:sz="24" w:space="8" w:color="5B9BD5" w:themeColor="accent1"/>
                        </w:pBdr>
                        <w:spacing w:after="0"/>
                        <w:rPr>
                          <w:i/>
                          <w:iCs/>
                          <w:color w:val="5B9BD5" w:themeColor="accent1"/>
                          <w:sz w:val="24"/>
                        </w:rPr>
                      </w:pPr>
                      <w:r>
                        <w:rPr>
                          <w:b/>
                          <w:i/>
                          <w:iCs/>
                          <w:color w:val="5B9BD5" w:themeColor="accent1"/>
                          <w:sz w:val="24"/>
                          <w:szCs w:val="24"/>
                        </w:rPr>
                        <w:t>RİSKİN OLASILIĞI X RİSKİN ETKİSİ = RİSK PUANI</w:t>
                      </w:r>
                    </w:p>
                  </w:txbxContent>
                </v:textbox>
                <w10:wrap type="topAndBottom" anchorx="page"/>
              </v:shape>
            </w:pict>
          </mc:Fallback>
        </mc:AlternateContent>
      </w:r>
      <w:r>
        <w:rPr>
          <w:rFonts w:ascii="Times New Roman" w:eastAsia="Times New Roman" w:hAnsi="Times New Roman"/>
          <w:sz w:val="24"/>
          <w:szCs w:val="24"/>
        </w:rPr>
        <w:t>Risk hesaplaması olasılık ile etki düzeyinin çarpımı ile bulunur.</w:t>
      </w:r>
    </w:p>
    <w:p>
      <w:pPr>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Birimlere göre farklılık gösteren derecelendirmelerde birim sorumluları farklı önceliğe sahip riskleri de renk sınıflarına müdahale ederek değiştirebilirler.</w:t>
      </w:r>
      <w:r>
        <w:rPr>
          <w:rFonts w:ascii="Times New Roman" w:eastAsia="Times New Roman" w:hAnsi="Times New Roman"/>
          <w:bCs/>
          <w:color w:val="000000"/>
          <w:sz w:val="24"/>
          <w:szCs w:val="24"/>
        </w:rPr>
        <w:t xml:space="preserve"> Risklerin olasılık ve etki değerleri göz önünde bulundurularak elde edilen risk puanları, Risk Matrisinde gösterilir.</w:t>
      </w:r>
    </w:p>
    <w:p>
      <w:pPr>
        <w:autoSpaceDE w:val="0"/>
        <w:autoSpaceDN w:val="0"/>
        <w:adjustRightInd w:val="0"/>
        <w:spacing w:before="40" w:after="40" w:line="259" w:lineRule="auto"/>
        <w:ind w:right="1134"/>
        <w:rPr>
          <w:rFonts w:ascii="Times New Roman" w:eastAsia="Times New Roman" w:hAnsi="Times New Roman"/>
          <w:b/>
          <w:color w:val="000000"/>
          <w:sz w:val="24"/>
          <w:szCs w:val="24"/>
        </w:rPr>
      </w:pPr>
      <w:r>
        <w:rPr>
          <w:rFonts w:ascii="Times New Roman" w:eastAsia="Times New Roman" w:hAnsi="Times New Roman"/>
          <w:b/>
          <w:color w:val="000000"/>
          <w:sz w:val="24"/>
          <w:szCs w:val="24"/>
        </w:rPr>
        <w:t>Tablo 3. Risk Derecesi Hesaplama Tablosu</w:t>
      </w:r>
    </w:p>
    <w:p>
      <w:pPr>
        <w:autoSpaceDE w:val="0"/>
        <w:autoSpaceDN w:val="0"/>
        <w:adjustRightInd w:val="0"/>
        <w:spacing w:before="40" w:after="40" w:line="259" w:lineRule="auto"/>
        <w:ind w:right="1134"/>
        <w:rPr>
          <w:rFonts w:ascii="Times New Roman" w:eastAsia="Times New Roman" w:hAnsi="Times New Roman"/>
          <w:b/>
          <w:color w:val="000000"/>
          <w:sz w:val="24"/>
          <w:szCs w:val="24"/>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1994"/>
        <w:gridCol w:w="1358"/>
        <w:gridCol w:w="1358"/>
        <w:gridCol w:w="1508"/>
        <w:gridCol w:w="1418"/>
        <w:gridCol w:w="1417"/>
      </w:tblGrid>
      <w:tr>
        <w:trPr>
          <w:trHeight w:val="397"/>
          <w:jc w:val="center"/>
        </w:trPr>
        <w:tc>
          <w:tcPr>
            <w:tcW w:w="2438" w:type="dxa"/>
            <w:gridSpan w:val="2"/>
            <w:vMerge w:val="restart"/>
            <w:shd w:val="clear" w:color="auto" w:fill="D5DCE4"/>
            <w:vAlign w:val="center"/>
          </w:tcPr>
          <w:p>
            <w:pPr>
              <w:pStyle w:val="Default"/>
              <w:spacing w:before="120" w:line="360" w:lineRule="auto"/>
              <w:ind w:right="-567"/>
              <w:rPr>
                <w:rFonts w:ascii="Times New Roman" w:eastAsia="Calibri" w:hAnsi="Times New Roman" w:cs="Times New Roman"/>
                <w:b/>
                <w:bCs/>
              </w:rPr>
            </w:pPr>
            <w:r>
              <w:rPr>
                <w:rFonts w:ascii="Times New Roman" w:eastAsia="Calibri" w:hAnsi="Times New Roman" w:cs="Times New Roman"/>
                <w:b/>
                <w:bCs/>
              </w:rPr>
              <w:t>RİSK ANALİZ</w:t>
            </w:r>
          </w:p>
          <w:p>
            <w:pPr>
              <w:pStyle w:val="Default"/>
              <w:spacing w:before="120" w:line="360" w:lineRule="auto"/>
              <w:ind w:right="-567"/>
              <w:rPr>
                <w:rFonts w:ascii="Times New Roman" w:eastAsia="Calibri" w:hAnsi="Times New Roman" w:cs="Times New Roman"/>
              </w:rPr>
            </w:pPr>
            <w:r>
              <w:rPr>
                <w:rFonts w:ascii="Times New Roman" w:eastAsia="Calibri" w:hAnsi="Times New Roman" w:cs="Times New Roman"/>
                <w:b/>
                <w:bCs/>
              </w:rPr>
              <w:t>MATRİSİ</w:t>
            </w:r>
          </w:p>
        </w:tc>
        <w:tc>
          <w:tcPr>
            <w:tcW w:w="7059" w:type="dxa"/>
            <w:gridSpan w:val="5"/>
            <w:shd w:val="clear" w:color="auto" w:fill="D0CECE"/>
            <w:vAlign w:val="center"/>
          </w:tcPr>
          <w:p>
            <w:pPr>
              <w:pStyle w:val="Default"/>
              <w:spacing w:line="360" w:lineRule="auto"/>
              <w:ind w:right="-567" w:hanging="958"/>
              <w:jc w:val="center"/>
              <w:rPr>
                <w:rFonts w:ascii="Times New Roman" w:eastAsia="Calibri" w:hAnsi="Times New Roman" w:cs="Times New Roman"/>
              </w:rPr>
            </w:pPr>
            <w:r>
              <w:rPr>
                <w:rFonts w:ascii="Times New Roman" w:eastAsia="Calibri" w:hAnsi="Times New Roman" w:cs="Times New Roman"/>
                <w:b/>
                <w:bCs/>
              </w:rPr>
              <w:t>ETKİ (ŞİDDET)</w:t>
            </w:r>
          </w:p>
        </w:tc>
      </w:tr>
      <w:tr>
        <w:trPr>
          <w:trHeight w:val="819"/>
          <w:jc w:val="center"/>
        </w:trPr>
        <w:tc>
          <w:tcPr>
            <w:tcW w:w="2438" w:type="dxa"/>
            <w:gridSpan w:val="2"/>
            <w:vMerge/>
            <w:shd w:val="clear" w:color="auto" w:fill="D5DCE4"/>
          </w:tcPr>
          <w:p>
            <w:pPr>
              <w:pStyle w:val="Default"/>
              <w:spacing w:line="360" w:lineRule="auto"/>
              <w:ind w:right="-567"/>
              <w:rPr>
                <w:rFonts w:ascii="Times New Roman" w:eastAsia="Calibri" w:hAnsi="Times New Roman" w:cs="Times New Roman"/>
              </w:rPr>
            </w:pPr>
          </w:p>
        </w:tc>
        <w:tc>
          <w:tcPr>
            <w:tcW w:w="1358" w:type="dxa"/>
            <w:shd w:val="clear" w:color="auto" w:fill="auto"/>
          </w:tcPr>
          <w:p>
            <w:pPr>
              <w:pStyle w:val="Default"/>
              <w:spacing w:line="360" w:lineRule="auto"/>
              <w:ind w:right="-567"/>
              <w:rPr>
                <w:rFonts w:ascii="Times New Roman" w:eastAsia="Calibri" w:hAnsi="Times New Roman" w:cs="Times New Roman"/>
                <w:b/>
                <w:sz w:val="22"/>
                <w:szCs w:val="22"/>
              </w:rPr>
            </w:pPr>
            <w:r>
              <w:rPr>
                <w:rFonts w:ascii="Times New Roman" w:eastAsia="Calibri" w:hAnsi="Times New Roman" w:cs="Times New Roman"/>
                <w:b/>
                <w:sz w:val="22"/>
                <w:szCs w:val="22"/>
              </w:rPr>
              <w:t>(5) Kritik</w:t>
            </w:r>
          </w:p>
        </w:tc>
        <w:tc>
          <w:tcPr>
            <w:tcW w:w="1358" w:type="dxa"/>
            <w:shd w:val="clear" w:color="auto" w:fill="auto"/>
          </w:tcPr>
          <w:p>
            <w:pPr>
              <w:pStyle w:val="Default"/>
              <w:spacing w:line="360" w:lineRule="auto"/>
              <w:ind w:right="-567"/>
              <w:rPr>
                <w:rFonts w:ascii="Times New Roman" w:eastAsia="Calibri" w:hAnsi="Times New Roman" w:cs="Times New Roman"/>
                <w:b/>
                <w:sz w:val="22"/>
                <w:szCs w:val="22"/>
              </w:rPr>
            </w:pPr>
            <w:r>
              <w:rPr>
                <w:rFonts w:ascii="Times New Roman" w:eastAsia="Calibri" w:hAnsi="Times New Roman" w:cs="Times New Roman"/>
                <w:b/>
                <w:sz w:val="22"/>
                <w:szCs w:val="22"/>
              </w:rPr>
              <w:t>(4) Önemli</w:t>
            </w:r>
          </w:p>
        </w:tc>
        <w:tc>
          <w:tcPr>
            <w:tcW w:w="1508" w:type="dxa"/>
            <w:shd w:val="clear" w:color="auto" w:fill="auto"/>
          </w:tcPr>
          <w:p>
            <w:pPr>
              <w:pStyle w:val="Default"/>
              <w:spacing w:line="360" w:lineRule="auto"/>
              <w:ind w:right="-567"/>
              <w:rPr>
                <w:rFonts w:ascii="Times New Roman" w:eastAsia="Calibri" w:hAnsi="Times New Roman" w:cs="Times New Roman"/>
                <w:b/>
                <w:sz w:val="22"/>
                <w:szCs w:val="22"/>
              </w:rPr>
            </w:pPr>
            <w:r>
              <w:rPr>
                <w:rFonts w:ascii="Times New Roman" w:eastAsia="Calibri" w:hAnsi="Times New Roman" w:cs="Times New Roman"/>
                <w:b/>
                <w:sz w:val="22"/>
                <w:szCs w:val="22"/>
              </w:rPr>
              <w:t>(3) Orta</w:t>
            </w:r>
          </w:p>
          <w:p>
            <w:pPr>
              <w:pStyle w:val="Default"/>
              <w:spacing w:line="360" w:lineRule="auto"/>
              <w:ind w:right="-567"/>
              <w:rPr>
                <w:rFonts w:ascii="Times New Roman" w:eastAsia="Calibri" w:hAnsi="Times New Roman" w:cs="Times New Roman"/>
                <w:b/>
                <w:sz w:val="22"/>
                <w:szCs w:val="22"/>
              </w:rPr>
            </w:pPr>
            <w:r>
              <w:rPr>
                <w:rFonts w:ascii="Times New Roman" w:eastAsia="Calibri" w:hAnsi="Times New Roman" w:cs="Times New Roman"/>
                <w:b/>
                <w:sz w:val="22"/>
                <w:szCs w:val="22"/>
              </w:rPr>
              <w:t>Derecede</w:t>
            </w:r>
          </w:p>
          <w:p>
            <w:pPr>
              <w:pStyle w:val="Default"/>
              <w:spacing w:line="360" w:lineRule="auto"/>
              <w:ind w:right="-567"/>
              <w:rPr>
                <w:rFonts w:ascii="Times New Roman" w:eastAsia="Calibri" w:hAnsi="Times New Roman" w:cs="Times New Roman"/>
                <w:b/>
                <w:sz w:val="22"/>
                <w:szCs w:val="22"/>
              </w:rPr>
            </w:pPr>
            <w:r>
              <w:rPr>
                <w:rFonts w:ascii="Times New Roman" w:eastAsia="Calibri" w:hAnsi="Times New Roman" w:cs="Times New Roman"/>
                <w:b/>
                <w:sz w:val="22"/>
                <w:szCs w:val="22"/>
              </w:rPr>
              <w:t>Önemli</w:t>
            </w:r>
          </w:p>
        </w:tc>
        <w:tc>
          <w:tcPr>
            <w:tcW w:w="1418" w:type="dxa"/>
            <w:shd w:val="clear" w:color="auto" w:fill="auto"/>
          </w:tcPr>
          <w:p>
            <w:pPr>
              <w:pStyle w:val="Default"/>
              <w:spacing w:line="360" w:lineRule="auto"/>
              <w:ind w:left="-108" w:right="-567" w:hanging="426"/>
              <w:jc w:val="center"/>
              <w:rPr>
                <w:rFonts w:ascii="Times New Roman" w:eastAsia="Calibri" w:hAnsi="Times New Roman" w:cs="Times New Roman"/>
                <w:b/>
                <w:sz w:val="22"/>
                <w:szCs w:val="22"/>
              </w:rPr>
            </w:pPr>
            <w:r>
              <w:rPr>
                <w:rFonts w:ascii="Times New Roman" w:eastAsia="Calibri" w:hAnsi="Times New Roman" w:cs="Times New Roman"/>
                <w:b/>
                <w:sz w:val="22"/>
                <w:szCs w:val="22"/>
              </w:rPr>
              <w:t>(2) Dikkate</w:t>
            </w:r>
          </w:p>
          <w:p>
            <w:pPr>
              <w:pStyle w:val="Default"/>
              <w:spacing w:line="360" w:lineRule="auto"/>
              <w:ind w:left="-108" w:right="-567" w:hanging="284"/>
              <w:jc w:val="center"/>
              <w:rPr>
                <w:rFonts w:ascii="Times New Roman" w:eastAsia="Calibri" w:hAnsi="Times New Roman" w:cs="Times New Roman"/>
                <w:b/>
                <w:sz w:val="22"/>
                <w:szCs w:val="22"/>
              </w:rPr>
            </w:pPr>
            <w:r>
              <w:rPr>
                <w:rFonts w:ascii="Times New Roman" w:eastAsia="Calibri" w:hAnsi="Times New Roman" w:cs="Times New Roman"/>
                <w:b/>
                <w:sz w:val="22"/>
                <w:szCs w:val="22"/>
              </w:rPr>
              <w:t>Değer</w:t>
            </w:r>
          </w:p>
        </w:tc>
        <w:tc>
          <w:tcPr>
            <w:tcW w:w="1417" w:type="dxa"/>
            <w:shd w:val="clear" w:color="auto" w:fill="auto"/>
          </w:tcPr>
          <w:p>
            <w:pPr>
              <w:pStyle w:val="Default"/>
              <w:spacing w:line="360" w:lineRule="auto"/>
              <w:ind w:right="-567"/>
              <w:rPr>
                <w:rFonts w:ascii="Times New Roman" w:eastAsia="Calibri" w:hAnsi="Times New Roman" w:cs="Times New Roman"/>
                <w:b/>
                <w:sz w:val="22"/>
                <w:szCs w:val="22"/>
              </w:rPr>
            </w:pPr>
            <w:r>
              <w:rPr>
                <w:rFonts w:ascii="Times New Roman" w:eastAsia="Calibri" w:hAnsi="Times New Roman" w:cs="Times New Roman"/>
                <w:b/>
                <w:sz w:val="22"/>
                <w:szCs w:val="22"/>
              </w:rPr>
              <w:t>(1) İhmal Edilebilir</w:t>
            </w:r>
          </w:p>
        </w:tc>
      </w:tr>
      <w:tr>
        <w:trPr>
          <w:trHeight w:val="482"/>
          <w:jc w:val="center"/>
        </w:trPr>
        <w:tc>
          <w:tcPr>
            <w:tcW w:w="444" w:type="dxa"/>
            <w:vMerge w:val="restart"/>
            <w:shd w:val="clear" w:color="auto" w:fill="D0CECE"/>
            <w:textDirection w:val="btLr"/>
          </w:tcPr>
          <w:p>
            <w:pPr>
              <w:pStyle w:val="Default"/>
              <w:spacing w:line="360" w:lineRule="auto"/>
              <w:ind w:left="113" w:right="-567"/>
              <w:jc w:val="center"/>
              <w:rPr>
                <w:rFonts w:ascii="Times New Roman" w:eastAsia="Calibri" w:hAnsi="Times New Roman" w:cs="Times New Roman"/>
              </w:rPr>
            </w:pPr>
            <w:r>
              <w:rPr>
                <w:rFonts w:ascii="Times New Roman" w:eastAsia="Calibri" w:hAnsi="Times New Roman" w:cs="Times New Roman"/>
                <w:b/>
                <w:bCs/>
              </w:rPr>
              <w:t>OLASILIK</w:t>
            </w:r>
          </w:p>
        </w:tc>
        <w:tc>
          <w:tcPr>
            <w:tcW w:w="1994" w:type="dxa"/>
            <w:shd w:val="clear" w:color="auto" w:fill="auto"/>
          </w:tcPr>
          <w:p>
            <w:pPr>
              <w:pStyle w:val="Default"/>
              <w:spacing w:before="100" w:beforeAutospacing="1" w:after="100" w:afterAutospacing="1" w:line="360" w:lineRule="auto"/>
              <w:ind w:right="-567"/>
              <w:rPr>
                <w:rFonts w:ascii="Times New Roman" w:eastAsia="Calibri" w:hAnsi="Times New Roman" w:cs="Times New Roman"/>
                <w:b/>
                <w:sz w:val="22"/>
                <w:szCs w:val="22"/>
              </w:rPr>
            </w:pPr>
            <w:r>
              <w:rPr>
                <w:rFonts w:ascii="Times New Roman" w:eastAsia="Calibri" w:hAnsi="Times New Roman" w:cs="Times New Roman"/>
                <w:b/>
                <w:sz w:val="22"/>
                <w:szCs w:val="22"/>
              </w:rPr>
              <w:t>(5) Çok Yüksek</w:t>
            </w:r>
          </w:p>
        </w:tc>
        <w:tc>
          <w:tcPr>
            <w:tcW w:w="1358" w:type="dxa"/>
            <w:shd w:val="clear" w:color="auto" w:fill="FF0000"/>
            <w:vAlign w:val="center"/>
          </w:tcPr>
          <w:p>
            <w:pPr>
              <w:autoSpaceDE w:val="0"/>
              <w:autoSpaceDN w:val="0"/>
              <w:adjustRightInd w:val="0"/>
              <w:spacing w:line="360" w:lineRule="auto"/>
              <w:ind w:right="-567" w:hanging="533"/>
              <w:jc w:val="center"/>
              <w:rPr>
                <w:color w:val="000000"/>
              </w:rPr>
            </w:pPr>
            <w:r>
              <w:rPr>
                <w:color w:val="000000"/>
              </w:rPr>
              <w:t>25</w:t>
            </w:r>
          </w:p>
        </w:tc>
        <w:tc>
          <w:tcPr>
            <w:tcW w:w="1358" w:type="dxa"/>
            <w:shd w:val="clear" w:color="auto" w:fill="FF0000"/>
            <w:vAlign w:val="center"/>
          </w:tcPr>
          <w:p>
            <w:pPr>
              <w:autoSpaceDE w:val="0"/>
              <w:autoSpaceDN w:val="0"/>
              <w:adjustRightInd w:val="0"/>
              <w:spacing w:line="360" w:lineRule="auto"/>
              <w:ind w:right="-567" w:hanging="533"/>
              <w:jc w:val="center"/>
              <w:rPr>
                <w:color w:val="000000"/>
              </w:rPr>
            </w:pPr>
            <w:r>
              <w:rPr>
                <w:color w:val="000000"/>
              </w:rPr>
              <w:t>20</w:t>
            </w:r>
          </w:p>
        </w:tc>
        <w:tc>
          <w:tcPr>
            <w:tcW w:w="1508" w:type="dxa"/>
            <w:shd w:val="clear" w:color="auto" w:fill="FF9900"/>
            <w:vAlign w:val="center"/>
          </w:tcPr>
          <w:p>
            <w:pPr>
              <w:autoSpaceDE w:val="0"/>
              <w:autoSpaceDN w:val="0"/>
              <w:adjustRightInd w:val="0"/>
              <w:spacing w:line="360" w:lineRule="auto"/>
              <w:ind w:right="-567" w:hanging="533"/>
              <w:jc w:val="center"/>
              <w:rPr>
                <w:color w:val="000000"/>
              </w:rPr>
            </w:pPr>
            <w:r>
              <w:rPr>
                <w:color w:val="000000"/>
              </w:rPr>
              <w:t>15</w:t>
            </w:r>
          </w:p>
        </w:tc>
        <w:tc>
          <w:tcPr>
            <w:tcW w:w="1418" w:type="dxa"/>
            <w:shd w:val="clear" w:color="auto" w:fill="FFFF00"/>
            <w:vAlign w:val="center"/>
          </w:tcPr>
          <w:p>
            <w:pPr>
              <w:autoSpaceDE w:val="0"/>
              <w:autoSpaceDN w:val="0"/>
              <w:adjustRightInd w:val="0"/>
              <w:spacing w:line="360" w:lineRule="auto"/>
              <w:ind w:right="-567" w:hanging="533"/>
              <w:jc w:val="center"/>
              <w:rPr>
                <w:color w:val="000000"/>
              </w:rPr>
            </w:pPr>
            <w:r>
              <w:rPr>
                <w:color w:val="000000"/>
              </w:rPr>
              <w:t>10</w:t>
            </w:r>
          </w:p>
        </w:tc>
        <w:tc>
          <w:tcPr>
            <w:tcW w:w="1417" w:type="dxa"/>
            <w:shd w:val="clear" w:color="auto" w:fill="008000"/>
            <w:vAlign w:val="center"/>
          </w:tcPr>
          <w:p>
            <w:pPr>
              <w:autoSpaceDE w:val="0"/>
              <w:autoSpaceDN w:val="0"/>
              <w:adjustRightInd w:val="0"/>
              <w:spacing w:line="360" w:lineRule="auto"/>
              <w:ind w:right="-567" w:hanging="533"/>
              <w:jc w:val="center"/>
              <w:rPr>
                <w:color w:val="000000"/>
              </w:rPr>
            </w:pPr>
            <w:r>
              <w:rPr>
                <w:color w:val="000000"/>
              </w:rPr>
              <w:t>5</w:t>
            </w:r>
          </w:p>
        </w:tc>
      </w:tr>
      <w:tr>
        <w:trPr>
          <w:trHeight w:val="275"/>
          <w:jc w:val="center"/>
        </w:trPr>
        <w:tc>
          <w:tcPr>
            <w:tcW w:w="444" w:type="dxa"/>
            <w:vMerge/>
            <w:shd w:val="clear" w:color="auto" w:fill="D0CECE"/>
          </w:tcPr>
          <w:p>
            <w:pPr>
              <w:autoSpaceDE w:val="0"/>
              <w:autoSpaceDN w:val="0"/>
              <w:adjustRightInd w:val="0"/>
              <w:spacing w:line="360" w:lineRule="auto"/>
              <w:ind w:right="-567"/>
              <w:rPr>
                <w:color w:val="000000"/>
              </w:rPr>
            </w:pPr>
          </w:p>
        </w:tc>
        <w:tc>
          <w:tcPr>
            <w:tcW w:w="1994" w:type="dxa"/>
            <w:shd w:val="clear" w:color="auto" w:fill="auto"/>
          </w:tcPr>
          <w:p>
            <w:pPr>
              <w:pStyle w:val="Default"/>
              <w:spacing w:line="360" w:lineRule="auto"/>
              <w:ind w:right="-567"/>
              <w:rPr>
                <w:rFonts w:ascii="Times New Roman" w:eastAsia="Calibri" w:hAnsi="Times New Roman" w:cs="Times New Roman"/>
                <w:b/>
                <w:sz w:val="22"/>
                <w:szCs w:val="22"/>
              </w:rPr>
            </w:pPr>
            <w:r>
              <w:rPr>
                <w:rFonts w:ascii="Times New Roman" w:eastAsia="Calibri" w:hAnsi="Times New Roman" w:cs="Times New Roman"/>
                <w:b/>
                <w:sz w:val="22"/>
                <w:szCs w:val="22"/>
              </w:rPr>
              <w:t>(4) Yüksek</w:t>
            </w:r>
          </w:p>
          <w:p>
            <w:pPr>
              <w:pStyle w:val="Default"/>
              <w:spacing w:line="360" w:lineRule="auto"/>
              <w:ind w:right="-567"/>
              <w:rPr>
                <w:rFonts w:ascii="Times New Roman" w:eastAsia="Calibri" w:hAnsi="Times New Roman" w:cs="Times New Roman"/>
                <w:b/>
                <w:sz w:val="22"/>
                <w:szCs w:val="22"/>
              </w:rPr>
            </w:pPr>
          </w:p>
        </w:tc>
        <w:tc>
          <w:tcPr>
            <w:tcW w:w="1358" w:type="dxa"/>
            <w:shd w:val="clear" w:color="auto" w:fill="FF0000"/>
            <w:vAlign w:val="center"/>
          </w:tcPr>
          <w:p>
            <w:pPr>
              <w:autoSpaceDE w:val="0"/>
              <w:autoSpaceDN w:val="0"/>
              <w:adjustRightInd w:val="0"/>
              <w:spacing w:line="360" w:lineRule="auto"/>
              <w:ind w:right="-567" w:hanging="533"/>
              <w:jc w:val="center"/>
              <w:rPr>
                <w:color w:val="000000"/>
              </w:rPr>
            </w:pPr>
            <w:r>
              <w:rPr>
                <w:color w:val="000000"/>
              </w:rPr>
              <w:t>20</w:t>
            </w:r>
          </w:p>
        </w:tc>
        <w:tc>
          <w:tcPr>
            <w:tcW w:w="1358" w:type="dxa"/>
            <w:shd w:val="clear" w:color="auto" w:fill="FF9900"/>
            <w:vAlign w:val="center"/>
          </w:tcPr>
          <w:p>
            <w:pPr>
              <w:autoSpaceDE w:val="0"/>
              <w:autoSpaceDN w:val="0"/>
              <w:adjustRightInd w:val="0"/>
              <w:spacing w:line="360" w:lineRule="auto"/>
              <w:ind w:right="-567" w:hanging="533"/>
              <w:jc w:val="center"/>
              <w:rPr>
                <w:color w:val="000000"/>
              </w:rPr>
            </w:pPr>
            <w:r>
              <w:rPr>
                <w:color w:val="000000"/>
              </w:rPr>
              <w:t>16</w:t>
            </w:r>
          </w:p>
        </w:tc>
        <w:tc>
          <w:tcPr>
            <w:tcW w:w="1508" w:type="dxa"/>
            <w:shd w:val="clear" w:color="auto" w:fill="FF9900"/>
            <w:vAlign w:val="center"/>
          </w:tcPr>
          <w:p>
            <w:pPr>
              <w:autoSpaceDE w:val="0"/>
              <w:autoSpaceDN w:val="0"/>
              <w:adjustRightInd w:val="0"/>
              <w:spacing w:line="360" w:lineRule="auto"/>
              <w:ind w:right="-567" w:hanging="533"/>
              <w:jc w:val="center"/>
              <w:rPr>
                <w:color w:val="000000"/>
              </w:rPr>
            </w:pPr>
            <w:r>
              <w:rPr>
                <w:color w:val="000000"/>
              </w:rPr>
              <w:t>12</w:t>
            </w:r>
          </w:p>
        </w:tc>
        <w:tc>
          <w:tcPr>
            <w:tcW w:w="1418" w:type="dxa"/>
            <w:shd w:val="clear" w:color="auto" w:fill="FFFF00"/>
            <w:vAlign w:val="center"/>
          </w:tcPr>
          <w:p>
            <w:pPr>
              <w:autoSpaceDE w:val="0"/>
              <w:autoSpaceDN w:val="0"/>
              <w:adjustRightInd w:val="0"/>
              <w:spacing w:line="360" w:lineRule="auto"/>
              <w:ind w:right="-567" w:hanging="533"/>
              <w:jc w:val="center"/>
              <w:rPr>
                <w:color w:val="000000"/>
              </w:rPr>
            </w:pPr>
            <w:r>
              <w:rPr>
                <w:color w:val="000000"/>
              </w:rPr>
              <w:t>8</w:t>
            </w:r>
          </w:p>
        </w:tc>
        <w:tc>
          <w:tcPr>
            <w:tcW w:w="1417" w:type="dxa"/>
            <w:shd w:val="clear" w:color="auto" w:fill="008000"/>
            <w:vAlign w:val="center"/>
          </w:tcPr>
          <w:p>
            <w:pPr>
              <w:autoSpaceDE w:val="0"/>
              <w:autoSpaceDN w:val="0"/>
              <w:adjustRightInd w:val="0"/>
              <w:spacing w:line="360" w:lineRule="auto"/>
              <w:ind w:right="-567" w:hanging="533"/>
              <w:jc w:val="center"/>
              <w:rPr>
                <w:color w:val="000000"/>
              </w:rPr>
            </w:pPr>
            <w:r>
              <w:rPr>
                <w:color w:val="000000"/>
              </w:rPr>
              <w:t>4</w:t>
            </w:r>
          </w:p>
        </w:tc>
      </w:tr>
      <w:tr>
        <w:trPr>
          <w:trHeight w:val="266"/>
          <w:jc w:val="center"/>
        </w:trPr>
        <w:tc>
          <w:tcPr>
            <w:tcW w:w="444" w:type="dxa"/>
            <w:vMerge/>
            <w:shd w:val="clear" w:color="auto" w:fill="D0CECE"/>
          </w:tcPr>
          <w:p>
            <w:pPr>
              <w:autoSpaceDE w:val="0"/>
              <w:autoSpaceDN w:val="0"/>
              <w:adjustRightInd w:val="0"/>
              <w:spacing w:line="360" w:lineRule="auto"/>
              <w:ind w:right="-567"/>
              <w:rPr>
                <w:color w:val="000000"/>
              </w:rPr>
            </w:pPr>
          </w:p>
        </w:tc>
        <w:tc>
          <w:tcPr>
            <w:tcW w:w="1994" w:type="dxa"/>
            <w:shd w:val="clear" w:color="auto" w:fill="auto"/>
          </w:tcPr>
          <w:p>
            <w:pPr>
              <w:pStyle w:val="Default"/>
              <w:spacing w:line="360" w:lineRule="auto"/>
              <w:ind w:right="-567"/>
              <w:rPr>
                <w:rFonts w:ascii="Times New Roman" w:eastAsia="Calibri" w:hAnsi="Times New Roman" w:cs="Times New Roman"/>
                <w:b/>
                <w:sz w:val="22"/>
                <w:szCs w:val="22"/>
              </w:rPr>
            </w:pPr>
            <w:r>
              <w:rPr>
                <w:rFonts w:ascii="Times New Roman" w:eastAsia="Calibri" w:hAnsi="Times New Roman" w:cs="Times New Roman"/>
                <w:b/>
                <w:sz w:val="22"/>
                <w:szCs w:val="22"/>
              </w:rPr>
              <w:t>(3) Orta</w:t>
            </w:r>
          </w:p>
          <w:p>
            <w:pPr>
              <w:pStyle w:val="Default"/>
              <w:spacing w:line="360" w:lineRule="auto"/>
              <w:ind w:right="-567"/>
              <w:rPr>
                <w:rFonts w:ascii="Times New Roman" w:eastAsia="Calibri" w:hAnsi="Times New Roman" w:cs="Times New Roman"/>
                <w:b/>
                <w:sz w:val="22"/>
                <w:szCs w:val="22"/>
              </w:rPr>
            </w:pPr>
          </w:p>
        </w:tc>
        <w:tc>
          <w:tcPr>
            <w:tcW w:w="1358" w:type="dxa"/>
            <w:shd w:val="clear" w:color="auto" w:fill="FF9900"/>
            <w:vAlign w:val="center"/>
          </w:tcPr>
          <w:p>
            <w:pPr>
              <w:autoSpaceDE w:val="0"/>
              <w:autoSpaceDN w:val="0"/>
              <w:adjustRightInd w:val="0"/>
              <w:spacing w:line="360" w:lineRule="auto"/>
              <w:ind w:right="-567" w:hanging="533"/>
              <w:jc w:val="center"/>
              <w:rPr>
                <w:color w:val="000000"/>
              </w:rPr>
            </w:pPr>
            <w:r>
              <w:rPr>
                <w:color w:val="000000"/>
              </w:rPr>
              <w:t>15</w:t>
            </w:r>
          </w:p>
        </w:tc>
        <w:tc>
          <w:tcPr>
            <w:tcW w:w="1358" w:type="dxa"/>
            <w:shd w:val="clear" w:color="auto" w:fill="FF9900"/>
            <w:vAlign w:val="center"/>
          </w:tcPr>
          <w:p>
            <w:pPr>
              <w:autoSpaceDE w:val="0"/>
              <w:autoSpaceDN w:val="0"/>
              <w:adjustRightInd w:val="0"/>
              <w:spacing w:line="360" w:lineRule="auto"/>
              <w:ind w:right="-567" w:hanging="533"/>
              <w:jc w:val="center"/>
              <w:rPr>
                <w:color w:val="000000"/>
              </w:rPr>
            </w:pPr>
            <w:r>
              <w:rPr>
                <w:color w:val="000000"/>
              </w:rPr>
              <w:t>12</w:t>
            </w:r>
          </w:p>
        </w:tc>
        <w:tc>
          <w:tcPr>
            <w:tcW w:w="1508" w:type="dxa"/>
            <w:shd w:val="clear" w:color="auto" w:fill="FFFF00"/>
            <w:vAlign w:val="center"/>
          </w:tcPr>
          <w:p>
            <w:pPr>
              <w:autoSpaceDE w:val="0"/>
              <w:autoSpaceDN w:val="0"/>
              <w:adjustRightInd w:val="0"/>
              <w:spacing w:line="360" w:lineRule="auto"/>
              <w:ind w:right="-567" w:hanging="533"/>
              <w:jc w:val="center"/>
              <w:rPr>
                <w:color w:val="000000"/>
              </w:rPr>
            </w:pPr>
            <w:r>
              <w:rPr>
                <w:color w:val="000000"/>
              </w:rPr>
              <w:t>9</w:t>
            </w:r>
          </w:p>
        </w:tc>
        <w:tc>
          <w:tcPr>
            <w:tcW w:w="1418" w:type="dxa"/>
            <w:shd w:val="clear" w:color="auto" w:fill="FFFF00"/>
            <w:vAlign w:val="center"/>
          </w:tcPr>
          <w:p>
            <w:pPr>
              <w:autoSpaceDE w:val="0"/>
              <w:autoSpaceDN w:val="0"/>
              <w:adjustRightInd w:val="0"/>
              <w:spacing w:line="360" w:lineRule="auto"/>
              <w:ind w:right="-567" w:hanging="533"/>
              <w:jc w:val="center"/>
              <w:rPr>
                <w:color w:val="000000"/>
              </w:rPr>
            </w:pPr>
            <w:r>
              <w:rPr>
                <w:color w:val="000000"/>
              </w:rPr>
              <w:t>6</w:t>
            </w:r>
          </w:p>
        </w:tc>
        <w:tc>
          <w:tcPr>
            <w:tcW w:w="1417" w:type="dxa"/>
            <w:shd w:val="clear" w:color="auto" w:fill="008000"/>
            <w:vAlign w:val="center"/>
          </w:tcPr>
          <w:p>
            <w:pPr>
              <w:autoSpaceDE w:val="0"/>
              <w:autoSpaceDN w:val="0"/>
              <w:adjustRightInd w:val="0"/>
              <w:spacing w:line="360" w:lineRule="auto"/>
              <w:ind w:right="-567" w:hanging="533"/>
              <w:jc w:val="center"/>
              <w:rPr>
                <w:color w:val="000000"/>
              </w:rPr>
            </w:pPr>
            <w:r>
              <w:rPr>
                <w:color w:val="000000"/>
              </w:rPr>
              <w:t>3</w:t>
            </w:r>
          </w:p>
        </w:tc>
      </w:tr>
      <w:tr>
        <w:trPr>
          <w:trHeight w:val="270"/>
          <w:jc w:val="center"/>
        </w:trPr>
        <w:tc>
          <w:tcPr>
            <w:tcW w:w="444" w:type="dxa"/>
            <w:vMerge/>
            <w:shd w:val="clear" w:color="auto" w:fill="D0CECE"/>
          </w:tcPr>
          <w:p>
            <w:pPr>
              <w:autoSpaceDE w:val="0"/>
              <w:autoSpaceDN w:val="0"/>
              <w:adjustRightInd w:val="0"/>
              <w:spacing w:line="360" w:lineRule="auto"/>
              <w:ind w:right="-567"/>
              <w:rPr>
                <w:color w:val="000000"/>
              </w:rPr>
            </w:pPr>
          </w:p>
        </w:tc>
        <w:tc>
          <w:tcPr>
            <w:tcW w:w="1994" w:type="dxa"/>
            <w:shd w:val="clear" w:color="auto" w:fill="auto"/>
          </w:tcPr>
          <w:p>
            <w:pPr>
              <w:pStyle w:val="Default"/>
              <w:spacing w:line="360" w:lineRule="auto"/>
              <w:ind w:right="-567"/>
              <w:rPr>
                <w:rFonts w:ascii="Times New Roman" w:eastAsia="Calibri" w:hAnsi="Times New Roman" w:cs="Times New Roman"/>
                <w:b/>
                <w:sz w:val="22"/>
                <w:szCs w:val="22"/>
              </w:rPr>
            </w:pPr>
            <w:r>
              <w:rPr>
                <w:rFonts w:ascii="Times New Roman" w:eastAsia="Calibri" w:hAnsi="Times New Roman" w:cs="Times New Roman"/>
                <w:b/>
                <w:sz w:val="22"/>
                <w:szCs w:val="22"/>
              </w:rPr>
              <w:t>(2) Düşük</w:t>
            </w:r>
          </w:p>
          <w:p>
            <w:pPr>
              <w:pStyle w:val="Default"/>
              <w:spacing w:line="360" w:lineRule="auto"/>
              <w:ind w:right="-567"/>
              <w:rPr>
                <w:rFonts w:ascii="Times New Roman" w:eastAsia="Calibri" w:hAnsi="Times New Roman" w:cs="Times New Roman"/>
                <w:b/>
                <w:sz w:val="22"/>
                <w:szCs w:val="22"/>
              </w:rPr>
            </w:pPr>
          </w:p>
        </w:tc>
        <w:tc>
          <w:tcPr>
            <w:tcW w:w="1358" w:type="dxa"/>
            <w:shd w:val="clear" w:color="auto" w:fill="FFFF00"/>
            <w:vAlign w:val="center"/>
          </w:tcPr>
          <w:p>
            <w:pPr>
              <w:autoSpaceDE w:val="0"/>
              <w:autoSpaceDN w:val="0"/>
              <w:adjustRightInd w:val="0"/>
              <w:spacing w:line="360" w:lineRule="auto"/>
              <w:ind w:right="-567" w:hanging="533"/>
              <w:jc w:val="center"/>
              <w:rPr>
                <w:color w:val="000000"/>
              </w:rPr>
            </w:pPr>
            <w:r>
              <w:rPr>
                <w:color w:val="000000"/>
              </w:rPr>
              <w:t>10</w:t>
            </w:r>
          </w:p>
        </w:tc>
        <w:tc>
          <w:tcPr>
            <w:tcW w:w="1358" w:type="dxa"/>
            <w:shd w:val="clear" w:color="auto" w:fill="FFFF00"/>
            <w:vAlign w:val="center"/>
          </w:tcPr>
          <w:p>
            <w:pPr>
              <w:autoSpaceDE w:val="0"/>
              <w:autoSpaceDN w:val="0"/>
              <w:adjustRightInd w:val="0"/>
              <w:spacing w:line="360" w:lineRule="auto"/>
              <w:ind w:right="-567" w:hanging="533"/>
              <w:jc w:val="center"/>
              <w:rPr>
                <w:color w:val="000000"/>
              </w:rPr>
            </w:pPr>
            <w:r>
              <w:rPr>
                <w:color w:val="000000"/>
              </w:rPr>
              <w:t>8</w:t>
            </w:r>
          </w:p>
        </w:tc>
        <w:tc>
          <w:tcPr>
            <w:tcW w:w="1508" w:type="dxa"/>
            <w:shd w:val="clear" w:color="auto" w:fill="FFFF00"/>
            <w:vAlign w:val="center"/>
          </w:tcPr>
          <w:p>
            <w:pPr>
              <w:autoSpaceDE w:val="0"/>
              <w:autoSpaceDN w:val="0"/>
              <w:adjustRightInd w:val="0"/>
              <w:spacing w:line="360" w:lineRule="auto"/>
              <w:ind w:right="-567" w:hanging="533"/>
              <w:jc w:val="center"/>
              <w:rPr>
                <w:color w:val="000000"/>
              </w:rPr>
            </w:pPr>
            <w:r>
              <w:rPr>
                <w:color w:val="000000"/>
              </w:rPr>
              <w:t>6</w:t>
            </w:r>
          </w:p>
        </w:tc>
        <w:tc>
          <w:tcPr>
            <w:tcW w:w="1418" w:type="dxa"/>
            <w:shd w:val="clear" w:color="auto" w:fill="008000"/>
            <w:vAlign w:val="center"/>
          </w:tcPr>
          <w:p>
            <w:pPr>
              <w:autoSpaceDE w:val="0"/>
              <w:autoSpaceDN w:val="0"/>
              <w:adjustRightInd w:val="0"/>
              <w:spacing w:line="360" w:lineRule="auto"/>
              <w:ind w:right="-567" w:hanging="533"/>
              <w:jc w:val="center"/>
              <w:rPr>
                <w:color w:val="000000"/>
              </w:rPr>
            </w:pPr>
            <w:r>
              <w:rPr>
                <w:color w:val="000000"/>
              </w:rPr>
              <w:t>4</w:t>
            </w:r>
          </w:p>
        </w:tc>
        <w:tc>
          <w:tcPr>
            <w:tcW w:w="1417" w:type="dxa"/>
            <w:shd w:val="clear" w:color="auto" w:fill="008000"/>
            <w:vAlign w:val="center"/>
          </w:tcPr>
          <w:p>
            <w:pPr>
              <w:autoSpaceDE w:val="0"/>
              <w:autoSpaceDN w:val="0"/>
              <w:adjustRightInd w:val="0"/>
              <w:spacing w:line="360" w:lineRule="auto"/>
              <w:ind w:right="-567" w:hanging="533"/>
              <w:jc w:val="center"/>
              <w:rPr>
                <w:color w:val="000000"/>
              </w:rPr>
            </w:pPr>
            <w:r>
              <w:rPr>
                <w:color w:val="000000"/>
              </w:rPr>
              <w:t>2</w:t>
            </w:r>
          </w:p>
        </w:tc>
      </w:tr>
      <w:tr>
        <w:trPr>
          <w:trHeight w:val="272"/>
          <w:jc w:val="center"/>
        </w:trPr>
        <w:tc>
          <w:tcPr>
            <w:tcW w:w="444" w:type="dxa"/>
            <w:vMerge/>
            <w:shd w:val="clear" w:color="auto" w:fill="D0CECE"/>
          </w:tcPr>
          <w:p>
            <w:pPr>
              <w:autoSpaceDE w:val="0"/>
              <w:autoSpaceDN w:val="0"/>
              <w:adjustRightInd w:val="0"/>
              <w:spacing w:line="360" w:lineRule="auto"/>
              <w:ind w:right="-567"/>
              <w:rPr>
                <w:color w:val="000000"/>
              </w:rPr>
            </w:pPr>
          </w:p>
        </w:tc>
        <w:tc>
          <w:tcPr>
            <w:tcW w:w="1994" w:type="dxa"/>
            <w:shd w:val="clear" w:color="auto" w:fill="auto"/>
          </w:tcPr>
          <w:p>
            <w:pPr>
              <w:pStyle w:val="Default"/>
              <w:spacing w:before="100" w:beforeAutospacing="1" w:after="100" w:afterAutospacing="1" w:line="360" w:lineRule="auto"/>
              <w:ind w:right="-567"/>
              <w:rPr>
                <w:rFonts w:ascii="Times New Roman" w:eastAsia="Calibri" w:hAnsi="Times New Roman" w:cs="Times New Roman"/>
                <w:b/>
                <w:sz w:val="22"/>
                <w:szCs w:val="22"/>
              </w:rPr>
            </w:pPr>
            <w:r>
              <w:rPr>
                <w:rFonts w:ascii="Times New Roman" w:eastAsia="Calibri" w:hAnsi="Times New Roman" w:cs="Times New Roman"/>
                <w:b/>
                <w:sz w:val="22"/>
                <w:szCs w:val="22"/>
              </w:rPr>
              <w:t>(1) Çok Düşük</w:t>
            </w:r>
          </w:p>
        </w:tc>
        <w:tc>
          <w:tcPr>
            <w:tcW w:w="1358" w:type="dxa"/>
            <w:shd w:val="clear" w:color="auto" w:fill="008000"/>
            <w:vAlign w:val="center"/>
          </w:tcPr>
          <w:p>
            <w:pPr>
              <w:autoSpaceDE w:val="0"/>
              <w:autoSpaceDN w:val="0"/>
              <w:adjustRightInd w:val="0"/>
              <w:spacing w:line="360" w:lineRule="auto"/>
              <w:ind w:right="-567" w:hanging="533"/>
              <w:jc w:val="center"/>
              <w:rPr>
                <w:color w:val="000000"/>
              </w:rPr>
            </w:pPr>
            <w:r>
              <w:rPr>
                <w:color w:val="000000"/>
              </w:rPr>
              <w:t>5</w:t>
            </w:r>
          </w:p>
        </w:tc>
        <w:tc>
          <w:tcPr>
            <w:tcW w:w="1358" w:type="dxa"/>
            <w:shd w:val="clear" w:color="auto" w:fill="008000"/>
            <w:vAlign w:val="center"/>
          </w:tcPr>
          <w:p>
            <w:pPr>
              <w:autoSpaceDE w:val="0"/>
              <w:autoSpaceDN w:val="0"/>
              <w:adjustRightInd w:val="0"/>
              <w:spacing w:line="360" w:lineRule="auto"/>
              <w:ind w:right="-567" w:hanging="533"/>
              <w:jc w:val="center"/>
              <w:rPr>
                <w:color w:val="000000"/>
              </w:rPr>
            </w:pPr>
            <w:r>
              <w:rPr>
                <w:color w:val="000000"/>
              </w:rPr>
              <w:t>4</w:t>
            </w:r>
          </w:p>
        </w:tc>
        <w:tc>
          <w:tcPr>
            <w:tcW w:w="1508" w:type="dxa"/>
            <w:shd w:val="clear" w:color="auto" w:fill="008000"/>
            <w:vAlign w:val="center"/>
          </w:tcPr>
          <w:p>
            <w:pPr>
              <w:autoSpaceDE w:val="0"/>
              <w:autoSpaceDN w:val="0"/>
              <w:adjustRightInd w:val="0"/>
              <w:spacing w:line="360" w:lineRule="auto"/>
              <w:ind w:right="-567" w:hanging="533"/>
              <w:jc w:val="center"/>
              <w:rPr>
                <w:color w:val="000000"/>
              </w:rPr>
            </w:pPr>
            <w:r>
              <w:rPr>
                <w:color w:val="000000"/>
              </w:rPr>
              <w:t>3</w:t>
            </w:r>
          </w:p>
        </w:tc>
        <w:tc>
          <w:tcPr>
            <w:tcW w:w="1418" w:type="dxa"/>
            <w:shd w:val="clear" w:color="auto" w:fill="008000"/>
            <w:vAlign w:val="center"/>
          </w:tcPr>
          <w:p>
            <w:pPr>
              <w:autoSpaceDE w:val="0"/>
              <w:autoSpaceDN w:val="0"/>
              <w:adjustRightInd w:val="0"/>
              <w:spacing w:line="360" w:lineRule="auto"/>
              <w:ind w:right="-567" w:hanging="533"/>
              <w:jc w:val="center"/>
              <w:rPr>
                <w:color w:val="000000"/>
              </w:rPr>
            </w:pPr>
            <w:r>
              <w:rPr>
                <w:color w:val="000000"/>
              </w:rPr>
              <w:t>2</w:t>
            </w:r>
          </w:p>
        </w:tc>
        <w:tc>
          <w:tcPr>
            <w:tcW w:w="1417" w:type="dxa"/>
            <w:shd w:val="clear" w:color="auto" w:fill="008000"/>
            <w:vAlign w:val="center"/>
          </w:tcPr>
          <w:p>
            <w:pPr>
              <w:autoSpaceDE w:val="0"/>
              <w:autoSpaceDN w:val="0"/>
              <w:adjustRightInd w:val="0"/>
              <w:spacing w:line="360" w:lineRule="auto"/>
              <w:ind w:right="-567" w:hanging="533"/>
              <w:jc w:val="center"/>
              <w:rPr>
                <w:color w:val="000000"/>
              </w:rPr>
            </w:pPr>
            <w:r>
              <w:rPr>
                <w:color w:val="000000"/>
              </w:rPr>
              <w:t>1</w:t>
            </w:r>
          </w:p>
        </w:tc>
      </w:tr>
    </w:tbl>
    <w:p>
      <w:pPr>
        <w:spacing w:after="0" w:line="240" w:lineRule="auto"/>
        <w:jc w:val="both"/>
        <w:rPr>
          <w:rFonts w:ascii="Cambria" w:eastAsiaTheme="minorHAnsi" w:hAnsi="Cambria" w:cstheme="minorBidi"/>
          <w:lang w:eastAsia="en-US"/>
        </w:rPr>
      </w:pPr>
    </w:p>
    <w:p>
      <w:pPr>
        <w:spacing w:line="240" w:lineRule="auto"/>
        <w:jc w:val="both"/>
        <w:rPr>
          <w:rFonts w:ascii="Times New Roman" w:eastAsiaTheme="minorHAnsi" w:hAnsi="Times New Roman"/>
          <w:sz w:val="24"/>
          <w:szCs w:val="24"/>
          <w:lang w:eastAsia="en-US"/>
        </w:rPr>
      </w:pPr>
    </w:p>
    <w:p>
      <w:pPr>
        <w:spacing w:line="240" w:lineRule="auto"/>
        <w:jc w:val="both"/>
        <w:rPr>
          <w:rFonts w:ascii="Times New Roman" w:eastAsiaTheme="minorHAnsi" w:hAnsi="Times New Roman"/>
          <w:sz w:val="24"/>
          <w:szCs w:val="24"/>
          <w:lang w:eastAsia="en-US"/>
        </w:rPr>
      </w:pPr>
    </w:p>
    <w:p>
      <w:pPr>
        <w:spacing w:line="240" w:lineRule="auto"/>
        <w:jc w:val="both"/>
        <w:rPr>
          <w:rFonts w:ascii="Times New Roman" w:eastAsiaTheme="minorHAnsi" w:hAnsi="Times New Roman"/>
          <w:sz w:val="24"/>
          <w:szCs w:val="24"/>
          <w:lang w:eastAsia="en-US"/>
        </w:rPr>
      </w:pPr>
    </w:p>
    <w:p>
      <w:pPr>
        <w:spacing w:line="240" w:lineRule="auto"/>
        <w:jc w:val="both"/>
        <w:rPr>
          <w:rFonts w:ascii="Times New Roman" w:eastAsiaTheme="minorHAnsi" w:hAnsi="Times New Roman"/>
          <w:sz w:val="24"/>
          <w:szCs w:val="24"/>
          <w:lang w:eastAsia="en-US"/>
        </w:rPr>
      </w:pPr>
    </w:p>
    <w:p>
      <w:pPr>
        <w:spacing w:line="240" w:lineRule="auto"/>
        <w:jc w:val="both"/>
        <w:rPr>
          <w:rFonts w:ascii="Times New Roman" w:eastAsiaTheme="minorHAnsi" w:hAnsi="Times New Roman"/>
          <w:sz w:val="24"/>
          <w:szCs w:val="24"/>
          <w:lang w:eastAsia="en-US"/>
        </w:rPr>
      </w:pPr>
    </w:p>
    <w:p>
      <w:pPr>
        <w:spacing w:line="240" w:lineRule="auto"/>
        <w:jc w:val="both"/>
        <w:rPr>
          <w:rFonts w:ascii="Times New Roman" w:eastAsiaTheme="minorHAnsi" w:hAnsi="Times New Roman"/>
          <w:sz w:val="24"/>
          <w:szCs w:val="24"/>
          <w:lang w:eastAsia="en-US"/>
        </w:rPr>
      </w:pPr>
    </w:p>
    <w:p>
      <w:pPr>
        <w:spacing w:line="240" w:lineRule="auto"/>
        <w:jc w:val="both"/>
        <w:rPr>
          <w:rFonts w:ascii="Times New Roman" w:eastAsiaTheme="minorHAnsi" w:hAnsi="Times New Roman"/>
          <w:sz w:val="24"/>
          <w:szCs w:val="24"/>
          <w:lang w:eastAsia="en-US"/>
        </w:rPr>
      </w:pPr>
    </w:p>
    <w:p>
      <w:pPr>
        <w:spacing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Risk Matrisinde gösterilen bu risk puanlarının derecelendirilmesi aşağıdaki gibi yapılır.</w:t>
      </w:r>
    </w:p>
    <w:p>
      <w:pPr>
        <w:pBdr>
          <w:top w:val="nil"/>
          <w:left w:val="nil"/>
          <w:bottom w:val="nil"/>
          <w:right w:val="nil"/>
          <w:between w:val="nil"/>
        </w:pBdr>
        <w:spacing w:after="0"/>
        <w:jc w:val="both"/>
        <w:rPr>
          <w:rFonts w:ascii="Times New Roman" w:eastAsia="Times New Roman" w:hAnsi="Times New Roman"/>
          <w:color w:val="000000"/>
        </w:rPr>
      </w:pPr>
      <w:r>
        <w:rPr>
          <w:rFonts w:ascii="Times New Roman" w:eastAsia="Times New Roman" w:hAnsi="Times New Roman"/>
          <w:b/>
          <w:color w:val="000000"/>
          <w:sz w:val="24"/>
          <w:szCs w:val="24"/>
        </w:rPr>
        <w:t>Tablo 4. Risk Puanı Değerlendirme Tablosu</w:t>
      </w:r>
    </w:p>
    <w:tbl>
      <w:tblPr>
        <w:tblStyle w:val="ab"/>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2"/>
        <w:gridCol w:w="1655"/>
        <w:gridCol w:w="3630"/>
        <w:gridCol w:w="3174"/>
      </w:tblGrid>
      <w:tr>
        <w:trPr>
          <w:trHeight w:val="333"/>
        </w:trPr>
        <w:tc>
          <w:tcPr>
            <w:tcW w:w="1322" w:type="dxa"/>
            <w:shd w:val="clear" w:color="auto" w:fill="D9D9D9" w:themeFill="background1" w:themeFillShade="D9"/>
          </w:tcPr>
          <w:p>
            <w:pPr>
              <w:jc w:val="center"/>
              <w:rPr>
                <w:rFonts w:ascii="Times New Roman" w:eastAsia="Times New Roman" w:hAnsi="Times New Roman"/>
                <w:b/>
                <w:color w:val="000000"/>
              </w:rPr>
            </w:pPr>
            <w:r>
              <w:rPr>
                <w:rFonts w:ascii="Times New Roman" w:eastAsia="Times New Roman" w:hAnsi="Times New Roman"/>
                <w:b/>
                <w:color w:val="000000"/>
              </w:rPr>
              <w:t>Risk Puanı</w:t>
            </w:r>
          </w:p>
        </w:tc>
        <w:tc>
          <w:tcPr>
            <w:tcW w:w="1655" w:type="dxa"/>
            <w:shd w:val="clear" w:color="auto" w:fill="D9D9D9" w:themeFill="background1" w:themeFillShade="D9"/>
          </w:tcPr>
          <w:p>
            <w:pPr>
              <w:jc w:val="center"/>
              <w:rPr>
                <w:rFonts w:ascii="Times New Roman" w:eastAsia="Times New Roman" w:hAnsi="Times New Roman"/>
                <w:b/>
                <w:color w:val="000000"/>
              </w:rPr>
            </w:pPr>
            <w:r>
              <w:rPr>
                <w:rFonts w:ascii="Times New Roman" w:eastAsia="Times New Roman" w:hAnsi="Times New Roman"/>
                <w:b/>
                <w:color w:val="000000"/>
              </w:rPr>
              <w:t>Değerlendirme</w:t>
            </w:r>
          </w:p>
        </w:tc>
        <w:tc>
          <w:tcPr>
            <w:tcW w:w="3630" w:type="dxa"/>
            <w:shd w:val="clear" w:color="auto" w:fill="D9D9D9" w:themeFill="background1" w:themeFillShade="D9"/>
          </w:tcPr>
          <w:p>
            <w:pPr>
              <w:jc w:val="center"/>
              <w:rPr>
                <w:rFonts w:ascii="Times New Roman" w:eastAsia="Times New Roman" w:hAnsi="Times New Roman"/>
                <w:b/>
                <w:color w:val="000000"/>
              </w:rPr>
            </w:pPr>
            <w:r>
              <w:rPr>
                <w:rFonts w:ascii="Times New Roman" w:eastAsia="Times New Roman" w:hAnsi="Times New Roman"/>
                <w:b/>
                <w:color w:val="000000"/>
              </w:rPr>
              <w:t>Gerçekleştirilecek Eylem</w:t>
            </w:r>
          </w:p>
        </w:tc>
        <w:tc>
          <w:tcPr>
            <w:tcW w:w="3174" w:type="dxa"/>
            <w:shd w:val="clear" w:color="auto" w:fill="D9D9D9" w:themeFill="background1" w:themeFillShade="D9"/>
          </w:tcPr>
          <w:p>
            <w:pPr>
              <w:jc w:val="center"/>
              <w:rPr>
                <w:rFonts w:ascii="Times New Roman" w:eastAsia="Times New Roman" w:hAnsi="Times New Roman"/>
                <w:b/>
                <w:color w:val="000000"/>
              </w:rPr>
            </w:pPr>
            <w:r>
              <w:rPr>
                <w:rFonts w:ascii="Times New Roman" w:eastAsia="Times New Roman" w:hAnsi="Times New Roman"/>
                <w:b/>
                <w:color w:val="000000"/>
              </w:rPr>
              <w:t>Termin</w:t>
            </w:r>
          </w:p>
        </w:tc>
      </w:tr>
      <w:tr>
        <w:trPr>
          <w:trHeight w:val="449"/>
        </w:trPr>
        <w:tc>
          <w:tcPr>
            <w:tcW w:w="1322" w:type="dxa"/>
            <w:shd w:val="clear" w:color="auto" w:fill="FF0000"/>
          </w:tcPr>
          <w:p>
            <w:pPr>
              <w:jc w:val="center"/>
              <w:rPr>
                <w:rFonts w:ascii="Times New Roman" w:eastAsia="Times New Roman" w:hAnsi="Times New Roman"/>
                <w:b/>
                <w:color w:val="000000"/>
              </w:rPr>
            </w:pPr>
          </w:p>
          <w:p>
            <w:pPr>
              <w:jc w:val="center"/>
              <w:rPr>
                <w:rFonts w:ascii="Times New Roman" w:eastAsia="Times New Roman" w:hAnsi="Times New Roman"/>
                <w:b/>
                <w:color w:val="000000" w:themeColor="text1"/>
              </w:rPr>
            </w:pPr>
          </w:p>
          <w:p>
            <w:pPr>
              <w:jc w:val="center"/>
              <w:rPr>
                <w:rFonts w:ascii="Times New Roman" w:eastAsia="Times New Roman" w:hAnsi="Times New Roman"/>
                <w:b/>
                <w:color w:val="000000" w:themeColor="text1"/>
              </w:rPr>
            </w:pPr>
          </w:p>
          <w:p>
            <w:pPr>
              <w:jc w:val="center"/>
              <w:rPr>
                <w:rFonts w:ascii="Times New Roman" w:eastAsia="Times New Roman" w:hAnsi="Times New Roman"/>
                <w:b/>
                <w:color w:val="000000"/>
              </w:rPr>
            </w:pPr>
            <w:r>
              <w:rPr>
                <w:rFonts w:ascii="Times New Roman" w:eastAsia="Times New Roman" w:hAnsi="Times New Roman"/>
                <w:b/>
                <w:color w:val="000000" w:themeColor="text1"/>
              </w:rPr>
              <w:t>20-25 Arası</w:t>
            </w:r>
          </w:p>
        </w:tc>
        <w:tc>
          <w:tcPr>
            <w:tcW w:w="1655" w:type="dxa"/>
            <w:shd w:val="clear" w:color="auto" w:fill="FF0000"/>
          </w:tcPr>
          <w:p>
            <w:pPr>
              <w:jc w:val="center"/>
              <w:rPr>
                <w:rFonts w:ascii="Times New Roman" w:eastAsia="Times New Roman" w:hAnsi="Times New Roman"/>
                <w:b/>
                <w:color w:val="000000"/>
              </w:rPr>
            </w:pPr>
          </w:p>
          <w:p>
            <w:pPr>
              <w:jc w:val="center"/>
              <w:rPr>
                <w:rFonts w:ascii="Times New Roman" w:eastAsia="Times New Roman" w:hAnsi="Times New Roman"/>
                <w:b/>
                <w:color w:val="000000"/>
              </w:rPr>
            </w:pPr>
          </w:p>
          <w:p>
            <w:pPr>
              <w:jc w:val="center"/>
              <w:rPr>
                <w:rFonts w:ascii="Times New Roman" w:eastAsia="Times New Roman" w:hAnsi="Times New Roman"/>
                <w:b/>
                <w:color w:val="000000"/>
              </w:rPr>
            </w:pPr>
          </w:p>
          <w:p>
            <w:pPr>
              <w:jc w:val="center"/>
              <w:rPr>
                <w:rFonts w:ascii="Times New Roman" w:eastAsia="Times New Roman" w:hAnsi="Times New Roman"/>
                <w:b/>
                <w:color w:val="000000"/>
              </w:rPr>
            </w:pPr>
            <w:r>
              <w:rPr>
                <w:rFonts w:ascii="Times New Roman" w:eastAsia="Times New Roman" w:hAnsi="Times New Roman"/>
                <w:b/>
                <w:color w:val="000000"/>
              </w:rPr>
              <w:t>Acil Eylem</w:t>
            </w:r>
          </w:p>
        </w:tc>
        <w:tc>
          <w:tcPr>
            <w:tcW w:w="3630" w:type="dxa"/>
          </w:tcPr>
          <w:p>
            <w:pPr>
              <w:rPr>
                <w:rFonts w:ascii="Times New Roman" w:eastAsia="Times New Roman" w:hAnsi="Times New Roman"/>
                <w:b/>
                <w:color w:val="000000"/>
                <w:u w:val="single"/>
              </w:rPr>
            </w:pPr>
            <w:r>
              <w:rPr>
                <w:rFonts w:ascii="Times New Roman" w:eastAsia="Times New Roman" w:hAnsi="Times New Roman"/>
                <w:color w:val="000000"/>
              </w:rPr>
              <w:t>Acil Eylem gerektiren riskler, alınacak önleyici faaliyetlerle mutlaka “Kabul Edilebilir” risk puan sınırına çekilmelidir.</w:t>
            </w:r>
          </w:p>
        </w:tc>
        <w:tc>
          <w:tcPr>
            <w:tcW w:w="3174" w:type="dxa"/>
          </w:tcPr>
          <w:p>
            <w:pPr>
              <w:rPr>
                <w:rFonts w:ascii="Times New Roman" w:eastAsia="Times New Roman" w:hAnsi="Times New Roman"/>
                <w:color w:val="000000"/>
              </w:rPr>
            </w:pPr>
            <w:r>
              <w:rPr>
                <w:rFonts w:ascii="Times New Roman" w:eastAsia="Times New Roman" w:hAnsi="Times New Roman"/>
                <w:color w:val="000000"/>
              </w:rPr>
              <w:t xml:space="preserve">Acil aksiyon gerektiren durumlar için Risk giderici faaliyet belirlenerek önleyici faaliyet başlatılır. Riskin ve faaliyetin niteliğine göre en fazla 1 hafta içerisinde faaliyet gerçekleştirilerek faaliyet sonuçları değerlendirilir.  </w:t>
            </w:r>
          </w:p>
        </w:tc>
      </w:tr>
      <w:tr>
        <w:trPr>
          <w:trHeight w:val="446"/>
        </w:trPr>
        <w:tc>
          <w:tcPr>
            <w:tcW w:w="1322" w:type="dxa"/>
            <w:shd w:val="clear" w:color="auto" w:fill="FF9900"/>
          </w:tcPr>
          <w:p>
            <w:pPr>
              <w:jc w:val="center"/>
              <w:rPr>
                <w:rFonts w:ascii="Times New Roman" w:eastAsia="Times New Roman" w:hAnsi="Times New Roman"/>
                <w:color w:val="000000" w:themeColor="text1"/>
              </w:rPr>
            </w:pPr>
          </w:p>
          <w:p>
            <w:pPr>
              <w:jc w:val="center"/>
              <w:rPr>
                <w:rFonts w:ascii="Times New Roman" w:eastAsia="Times New Roman" w:hAnsi="Times New Roman"/>
                <w:b/>
                <w:color w:val="000000" w:themeColor="text1"/>
              </w:rPr>
            </w:pPr>
            <w:r>
              <w:rPr>
                <w:rFonts w:ascii="Times New Roman" w:eastAsia="Times New Roman" w:hAnsi="Times New Roman"/>
                <w:b/>
                <w:color w:val="000000" w:themeColor="text1"/>
              </w:rPr>
              <w:t>11-19 Arası</w:t>
            </w:r>
          </w:p>
          <w:p>
            <w:pPr>
              <w:jc w:val="center"/>
              <w:rPr>
                <w:rFonts w:ascii="Times New Roman" w:eastAsia="Times New Roman" w:hAnsi="Times New Roman"/>
                <w:color w:val="000000" w:themeColor="text1"/>
              </w:rPr>
            </w:pPr>
            <w:bookmarkStart w:id="0" w:name="_heading=h.1fob9te" w:colFirst="0" w:colLast="0"/>
            <w:bookmarkEnd w:id="0"/>
          </w:p>
        </w:tc>
        <w:tc>
          <w:tcPr>
            <w:tcW w:w="1655" w:type="dxa"/>
            <w:shd w:val="clear" w:color="auto" w:fill="FF9900"/>
          </w:tcPr>
          <w:p>
            <w:pPr>
              <w:jc w:val="center"/>
              <w:rPr>
                <w:rFonts w:ascii="Times New Roman" w:eastAsia="Times New Roman" w:hAnsi="Times New Roman"/>
                <w:b/>
                <w:color w:val="000000" w:themeColor="text1"/>
              </w:rPr>
            </w:pPr>
          </w:p>
          <w:p>
            <w:pPr>
              <w:jc w:val="center"/>
              <w:rPr>
                <w:rFonts w:ascii="Times New Roman" w:eastAsia="Times New Roman" w:hAnsi="Times New Roman"/>
                <w:b/>
                <w:color w:val="000000" w:themeColor="text1"/>
              </w:rPr>
            </w:pPr>
            <w:r>
              <w:rPr>
                <w:rFonts w:ascii="Times New Roman" w:eastAsia="Times New Roman" w:hAnsi="Times New Roman"/>
                <w:b/>
                <w:color w:val="000000" w:themeColor="text1"/>
              </w:rPr>
              <w:t>Önemli</w:t>
            </w:r>
          </w:p>
          <w:p>
            <w:pPr>
              <w:jc w:val="center"/>
              <w:rPr>
                <w:rFonts w:ascii="Times New Roman" w:eastAsia="Times New Roman" w:hAnsi="Times New Roman"/>
                <w:b/>
                <w:color w:val="000000" w:themeColor="text1"/>
              </w:rPr>
            </w:pPr>
          </w:p>
        </w:tc>
        <w:tc>
          <w:tcPr>
            <w:tcW w:w="3630" w:type="dxa"/>
          </w:tcPr>
          <w:p>
            <w:pPr>
              <w:rPr>
                <w:rFonts w:ascii="Times New Roman" w:eastAsia="Times New Roman" w:hAnsi="Times New Roman"/>
                <w:b/>
                <w:color w:val="000000"/>
                <w:u w:val="single"/>
              </w:rPr>
            </w:pPr>
            <w:r>
              <w:rPr>
                <w:rFonts w:ascii="Times New Roman" w:eastAsia="Times New Roman" w:hAnsi="Times New Roman"/>
                <w:color w:val="000000"/>
              </w:rPr>
              <w:t>Hemen düzeltici faaliyet ve risk belirleme çalışması başlatılarak riskin “Kabul Edilebilir” puana indirilmesi gereklidir.</w:t>
            </w:r>
          </w:p>
        </w:tc>
        <w:tc>
          <w:tcPr>
            <w:tcW w:w="3174" w:type="dxa"/>
          </w:tcPr>
          <w:p>
            <w:pPr>
              <w:rPr>
                <w:rFonts w:ascii="Times New Roman" w:eastAsia="Times New Roman" w:hAnsi="Times New Roman"/>
                <w:color w:val="000000"/>
              </w:rPr>
            </w:pPr>
            <w:r>
              <w:rPr>
                <w:rFonts w:ascii="Times New Roman" w:eastAsia="Times New Roman" w:hAnsi="Times New Roman"/>
                <w:color w:val="000000"/>
              </w:rPr>
              <w:t>Risk azaltıcı önlemler belirlenir ve en fazla 2 ay içinde uygulanarak sonuçlar değerlendirilir.</w:t>
            </w:r>
          </w:p>
        </w:tc>
      </w:tr>
      <w:tr>
        <w:trPr>
          <w:trHeight w:val="800"/>
        </w:trPr>
        <w:tc>
          <w:tcPr>
            <w:tcW w:w="1322" w:type="dxa"/>
            <w:shd w:val="clear" w:color="auto" w:fill="FFFF00"/>
          </w:tcPr>
          <w:p>
            <w:pPr>
              <w:jc w:val="center"/>
              <w:rPr>
                <w:rFonts w:ascii="Times New Roman" w:eastAsia="Times New Roman" w:hAnsi="Times New Roman"/>
                <w:b/>
                <w:color w:val="000000" w:themeColor="text1"/>
              </w:rPr>
            </w:pPr>
          </w:p>
          <w:p>
            <w:pPr>
              <w:jc w:val="center"/>
              <w:rPr>
                <w:rFonts w:ascii="Times New Roman" w:eastAsia="Times New Roman" w:hAnsi="Times New Roman"/>
                <w:b/>
                <w:color w:val="000000" w:themeColor="text1"/>
              </w:rPr>
            </w:pPr>
          </w:p>
          <w:p>
            <w:pPr>
              <w:jc w:val="center"/>
              <w:rPr>
                <w:rFonts w:ascii="Times New Roman" w:eastAsia="Times New Roman" w:hAnsi="Times New Roman"/>
                <w:b/>
                <w:color w:val="000000" w:themeColor="text1"/>
              </w:rPr>
            </w:pPr>
            <w:r>
              <w:rPr>
                <w:rFonts w:ascii="Times New Roman" w:eastAsia="Times New Roman" w:hAnsi="Times New Roman"/>
                <w:b/>
                <w:color w:val="000000" w:themeColor="text1"/>
              </w:rPr>
              <w:t>6-10 Arası</w:t>
            </w:r>
          </w:p>
          <w:p>
            <w:pPr>
              <w:jc w:val="center"/>
              <w:rPr>
                <w:rFonts w:ascii="Times New Roman" w:eastAsia="Times New Roman" w:hAnsi="Times New Roman"/>
                <w:color w:val="000000" w:themeColor="text1"/>
              </w:rPr>
            </w:pPr>
          </w:p>
        </w:tc>
        <w:tc>
          <w:tcPr>
            <w:tcW w:w="1655" w:type="dxa"/>
            <w:shd w:val="clear" w:color="auto" w:fill="FFFF00"/>
          </w:tcPr>
          <w:p>
            <w:pPr>
              <w:jc w:val="center"/>
              <w:rPr>
                <w:rFonts w:ascii="Times New Roman" w:eastAsia="Times New Roman" w:hAnsi="Times New Roman"/>
                <w:b/>
                <w:color w:val="000000" w:themeColor="text1"/>
              </w:rPr>
            </w:pPr>
          </w:p>
          <w:p>
            <w:pPr>
              <w:jc w:val="center"/>
              <w:rPr>
                <w:rFonts w:ascii="Times New Roman" w:eastAsia="Times New Roman" w:hAnsi="Times New Roman"/>
                <w:b/>
                <w:color w:val="000000" w:themeColor="text1"/>
              </w:rPr>
            </w:pPr>
          </w:p>
          <w:p>
            <w:pPr>
              <w:jc w:val="center"/>
              <w:rPr>
                <w:rFonts w:ascii="Times New Roman" w:eastAsia="Times New Roman" w:hAnsi="Times New Roman"/>
                <w:b/>
                <w:color w:val="000000" w:themeColor="text1"/>
              </w:rPr>
            </w:pPr>
            <w:r>
              <w:rPr>
                <w:rFonts w:ascii="Times New Roman" w:eastAsia="Times New Roman" w:hAnsi="Times New Roman"/>
                <w:b/>
                <w:color w:val="000000" w:themeColor="text1"/>
              </w:rPr>
              <w:t>Kabul Edilebilir</w:t>
            </w:r>
          </w:p>
        </w:tc>
        <w:tc>
          <w:tcPr>
            <w:tcW w:w="3630" w:type="dxa"/>
          </w:tcPr>
          <w:p>
            <w:pPr>
              <w:rPr>
                <w:rFonts w:ascii="Times New Roman" w:eastAsia="Times New Roman" w:hAnsi="Times New Roman"/>
                <w:b/>
                <w:color w:val="000000"/>
                <w:u w:val="single"/>
              </w:rPr>
            </w:pPr>
            <w:r>
              <w:rPr>
                <w:rFonts w:ascii="Times New Roman" w:eastAsia="Times New Roman" w:hAnsi="Times New Roman"/>
                <w:color w:val="000000"/>
              </w:rPr>
              <w:t>Riskin kontrol altına alındığını gösteren gerçekleştirilen aksiyon sonrasında “Acil Eylem” ve “Önemli” risk değerlendirmesinden, “Kabul Edilebilir” sınırına gelmesi gereken seviyedir.</w:t>
            </w:r>
          </w:p>
        </w:tc>
        <w:tc>
          <w:tcPr>
            <w:tcW w:w="3174" w:type="dxa"/>
          </w:tcPr>
          <w:p>
            <w:pPr>
              <w:rPr>
                <w:rFonts w:ascii="Times New Roman" w:eastAsia="Times New Roman" w:hAnsi="Times New Roman"/>
                <w:color w:val="000000"/>
              </w:rPr>
            </w:pPr>
            <w:r>
              <w:rPr>
                <w:rFonts w:ascii="Times New Roman" w:eastAsia="Times New Roman" w:hAnsi="Times New Roman"/>
                <w:color w:val="000000"/>
              </w:rPr>
              <w:t xml:space="preserve">Risk giderici faaliyet belirlenerek önleyici faaliyet başlatılır. Riskin ve faaliyetin niteliğine göre en fazla 6 Ay içerisinde faaliyet gerçekleştirilerek faaliyet sonuçları değerlendirilir.  </w:t>
            </w:r>
          </w:p>
        </w:tc>
      </w:tr>
      <w:tr>
        <w:trPr>
          <w:trHeight w:val="589"/>
        </w:trPr>
        <w:tc>
          <w:tcPr>
            <w:tcW w:w="1322" w:type="dxa"/>
            <w:shd w:val="clear" w:color="auto" w:fill="009900"/>
          </w:tcPr>
          <w:p>
            <w:pPr>
              <w:jc w:val="center"/>
              <w:rPr>
                <w:rFonts w:ascii="Times New Roman" w:eastAsia="Times New Roman" w:hAnsi="Times New Roman"/>
                <w:color w:val="000000" w:themeColor="text1"/>
              </w:rPr>
            </w:pPr>
          </w:p>
          <w:p>
            <w:pPr>
              <w:jc w:val="center"/>
              <w:rPr>
                <w:rFonts w:ascii="Times New Roman" w:eastAsia="Times New Roman" w:hAnsi="Times New Roman"/>
                <w:b/>
                <w:color w:val="000000" w:themeColor="text1"/>
              </w:rPr>
            </w:pPr>
          </w:p>
          <w:p>
            <w:pPr>
              <w:jc w:val="center"/>
              <w:rPr>
                <w:rFonts w:ascii="Times New Roman" w:eastAsia="Times New Roman" w:hAnsi="Times New Roman"/>
                <w:b/>
                <w:color w:val="000000" w:themeColor="text1"/>
              </w:rPr>
            </w:pPr>
            <w:r>
              <w:rPr>
                <w:rFonts w:ascii="Times New Roman" w:eastAsia="Times New Roman" w:hAnsi="Times New Roman"/>
                <w:b/>
                <w:color w:val="000000" w:themeColor="text1"/>
              </w:rPr>
              <w:t>0-5 Arası</w:t>
            </w:r>
          </w:p>
          <w:p>
            <w:pPr>
              <w:jc w:val="center"/>
              <w:rPr>
                <w:rFonts w:ascii="Times New Roman" w:eastAsia="Times New Roman" w:hAnsi="Times New Roman"/>
                <w:color w:val="000000" w:themeColor="text1"/>
              </w:rPr>
            </w:pPr>
          </w:p>
        </w:tc>
        <w:tc>
          <w:tcPr>
            <w:tcW w:w="1655" w:type="dxa"/>
            <w:shd w:val="clear" w:color="auto" w:fill="009900"/>
          </w:tcPr>
          <w:p>
            <w:pPr>
              <w:jc w:val="center"/>
              <w:rPr>
                <w:rFonts w:ascii="Times New Roman" w:eastAsia="Times New Roman" w:hAnsi="Times New Roman"/>
                <w:b/>
                <w:color w:val="000000" w:themeColor="text1"/>
              </w:rPr>
            </w:pPr>
          </w:p>
          <w:p>
            <w:pPr>
              <w:jc w:val="center"/>
              <w:rPr>
                <w:rFonts w:ascii="Times New Roman" w:eastAsia="Times New Roman" w:hAnsi="Times New Roman"/>
                <w:b/>
                <w:color w:val="000000" w:themeColor="text1"/>
              </w:rPr>
            </w:pPr>
          </w:p>
          <w:p>
            <w:pPr>
              <w:jc w:val="center"/>
              <w:rPr>
                <w:rFonts w:ascii="Times New Roman" w:eastAsia="Times New Roman" w:hAnsi="Times New Roman"/>
                <w:b/>
                <w:color w:val="000000" w:themeColor="text1"/>
              </w:rPr>
            </w:pPr>
            <w:r>
              <w:rPr>
                <w:rFonts w:ascii="Times New Roman" w:eastAsia="Times New Roman" w:hAnsi="Times New Roman"/>
                <w:b/>
                <w:color w:val="000000" w:themeColor="text1"/>
              </w:rPr>
              <w:t>Düşük</w:t>
            </w:r>
          </w:p>
        </w:tc>
        <w:tc>
          <w:tcPr>
            <w:tcW w:w="3630" w:type="dxa"/>
          </w:tcPr>
          <w:p>
            <w:pPr>
              <w:rPr>
                <w:rFonts w:ascii="Times New Roman" w:eastAsia="Times New Roman" w:hAnsi="Times New Roman"/>
                <w:b/>
                <w:color w:val="000000"/>
                <w:u w:val="single"/>
              </w:rPr>
            </w:pPr>
            <w:r>
              <w:rPr>
                <w:rFonts w:ascii="Times New Roman" w:eastAsia="Times New Roman" w:hAnsi="Times New Roman"/>
                <w:color w:val="000000"/>
              </w:rPr>
              <w:t>İşletmede gerçekleştirilen tüm yönetim planlarından sonra, sürekli iyileştirmelerle birlikte tüm risk değerlendirmelerinin ulaşması istenen en değerli bölgeyi temsil eder.</w:t>
            </w:r>
          </w:p>
        </w:tc>
        <w:tc>
          <w:tcPr>
            <w:tcW w:w="3174" w:type="dxa"/>
          </w:tcPr>
          <w:p>
            <w:pPr>
              <w:rPr>
                <w:rFonts w:ascii="Times New Roman" w:eastAsia="Times New Roman" w:hAnsi="Times New Roman"/>
                <w:color w:val="000000"/>
              </w:rPr>
            </w:pPr>
            <w:r>
              <w:rPr>
                <w:rFonts w:ascii="Times New Roman" w:eastAsia="Times New Roman" w:hAnsi="Times New Roman"/>
                <w:color w:val="000000"/>
              </w:rPr>
              <w:t>Önleyici faaliyet başlatılmaksızın risk giderici faaliyet belirlenir. 1 yıl sonra olasılık izlenir.</w:t>
            </w:r>
          </w:p>
        </w:tc>
      </w:tr>
    </w:tbl>
    <w:p>
      <w:pPr>
        <w:pBdr>
          <w:top w:val="nil"/>
          <w:left w:val="nil"/>
          <w:bottom w:val="nil"/>
          <w:right w:val="nil"/>
          <w:between w:val="nil"/>
        </w:pBdr>
        <w:jc w:val="both"/>
        <w:rPr>
          <w:rFonts w:ascii="Times New Roman" w:eastAsia="Times New Roman" w:hAnsi="Times New Roman"/>
          <w:b/>
          <w:color w:val="000000"/>
          <w:u w:val="single"/>
        </w:rPr>
      </w:pPr>
    </w:p>
    <w:p>
      <w:pPr>
        <w:pStyle w:val="ListeParagraf"/>
        <w:numPr>
          <w:ilvl w:val="0"/>
          <w:numId w:val="18"/>
        </w:numPr>
        <w:pBdr>
          <w:top w:val="nil"/>
          <w:left w:val="nil"/>
          <w:bottom w:val="nil"/>
          <w:right w:val="nil"/>
          <w:between w:val="nil"/>
        </w:pBdr>
        <w:ind w:left="284" w:hanging="284"/>
        <w:jc w:val="both"/>
        <w:rPr>
          <w:rFonts w:ascii="Times New Roman" w:eastAsia="Times New Roman" w:hAnsi="Times New Roman"/>
          <w:color w:val="000000"/>
          <w:sz w:val="24"/>
          <w:szCs w:val="24"/>
        </w:rPr>
      </w:pPr>
      <w:r>
        <w:rPr>
          <w:rFonts w:ascii="Times New Roman" w:eastAsia="Times New Roman" w:hAnsi="Times New Roman"/>
          <w:b/>
          <w:bCs/>
          <w:i/>
          <w:color w:val="000000"/>
          <w:sz w:val="24"/>
          <w:szCs w:val="24"/>
        </w:rPr>
        <w:t>Riski D</w:t>
      </w:r>
      <w:r>
        <w:rPr>
          <w:rFonts w:ascii="Times New Roman" w:eastAsia="Times New Roman" w:hAnsi="Times New Roman" w:hint="eastAsia"/>
          <w:b/>
          <w:bCs/>
          <w:i/>
          <w:color w:val="000000"/>
          <w:sz w:val="24"/>
          <w:szCs w:val="24"/>
        </w:rPr>
        <w:t>üşü</w:t>
      </w:r>
      <w:r>
        <w:rPr>
          <w:rFonts w:ascii="Times New Roman" w:eastAsia="Times New Roman" w:hAnsi="Times New Roman"/>
          <w:b/>
          <w:bCs/>
          <w:i/>
          <w:color w:val="000000"/>
          <w:sz w:val="24"/>
          <w:szCs w:val="24"/>
        </w:rPr>
        <w:t>rme:</w:t>
      </w:r>
      <w:r>
        <w:rPr>
          <w:rFonts w:ascii="Times New Roman" w:eastAsia="Times New Roman" w:hAnsi="Times New Roman"/>
          <w:color w:val="000000"/>
          <w:sz w:val="24"/>
          <w:szCs w:val="24"/>
        </w:rPr>
        <w:t xml:space="preserve"> Riskin d</w:t>
      </w:r>
      <w:r>
        <w:rPr>
          <w:rFonts w:ascii="Times New Roman" w:eastAsia="Times New Roman" w:hAnsi="Times New Roman" w:hint="eastAsia"/>
          <w:color w:val="000000"/>
          <w:sz w:val="24"/>
          <w:szCs w:val="24"/>
        </w:rPr>
        <w:t>üşü</w:t>
      </w:r>
      <w:r>
        <w:rPr>
          <w:rFonts w:ascii="Times New Roman" w:eastAsia="Times New Roman" w:hAnsi="Times New Roman"/>
          <w:color w:val="000000"/>
          <w:sz w:val="24"/>
          <w:szCs w:val="24"/>
        </w:rPr>
        <w:t>r</w:t>
      </w:r>
      <w:r>
        <w:rPr>
          <w:rFonts w:ascii="Times New Roman" w:eastAsia="Times New Roman" w:hAnsi="Times New Roman" w:hint="eastAsia"/>
          <w:color w:val="000000"/>
          <w:sz w:val="24"/>
          <w:szCs w:val="24"/>
        </w:rPr>
        <w:t>ü</w:t>
      </w:r>
      <w:r>
        <w:rPr>
          <w:rFonts w:ascii="Times New Roman" w:eastAsia="Times New Roman" w:hAnsi="Times New Roman"/>
          <w:color w:val="000000"/>
          <w:sz w:val="24"/>
          <w:szCs w:val="24"/>
        </w:rPr>
        <w:t>lmesi i</w:t>
      </w:r>
      <w:r>
        <w:rPr>
          <w:rFonts w:ascii="Times New Roman" w:eastAsia="Times New Roman" w:hAnsi="Times New Roman" w:hint="eastAsia"/>
          <w:color w:val="000000"/>
          <w:sz w:val="24"/>
          <w:szCs w:val="24"/>
        </w:rPr>
        <w:t>ç</w:t>
      </w:r>
      <w:r>
        <w:rPr>
          <w:rFonts w:ascii="Times New Roman" w:eastAsia="Times New Roman" w:hAnsi="Times New Roman"/>
          <w:color w:val="000000"/>
          <w:sz w:val="24"/>
          <w:szCs w:val="24"/>
        </w:rPr>
        <w:t>in önleyici faaliyetlerin belirlenerek uygulanmas</w:t>
      </w:r>
      <w:r>
        <w:rPr>
          <w:rFonts w:ascii="Times New Roman" w:eastAsia="Times New Roman" w:hAnsi="Times New Roman" w:hint="eastAsia"/>
          <w:color w:val="000000"/>
          <w:sz w:val="24"/>
          <w:szCs w:val="24"/>
        </w:rPr>
        <w:t>ı</w:t>
      </w:r>
      <w:r>
        <w:rPr>
          <w:rFonts w:ascii="Times New Roman" w:eastAsia="Times New Roman" w:hAnsi="Times New Roman"/>
          <w:color w:val="000000"/>
          <w:sz w:val="24"/>
          <w:szCs w:val="24"/>
        </w:rPr>
        <w:t xml:space="preserve"> ve risk seviyesinin d</w:t>
      </w:r>
      <w:r>
        <w:rPr>
          <w:rFonts w:ascii="Times New Roman" w:eastAsia="Times New Roman" w:hAnsi="Times New Roman" w:hint="eastAsia"/>
          <w:color w:val="000000"/>
          <w:sz w:val="24"/>
          <w:szCs w:val="24"/>
        </w:rPr>
        <w:t>üşü</w:t>
      </w:r>
      <w:r>
        <w:rPr>
          <w:rFonts w:ascii="Times New Roman" w:eastAsia="Times New Roman" w:hAnsi="Times New Roman"/>
          <w:color w:val="000000"/>
          <w:sz w:val="24"/>
          <w:szCs w:val="24"/>
        </w:rPr>
        <w:t>r</w:t>
      </w:r>
      <w:r>
        <w:rPr>
          <w:rFonts w:ascii="Times New Roman" w:eastAsia="Times New Roman" w:hAnsi="Times New Roman" w:hint="eastAsia"/>
          <w:color w:val="000000"/>
          <w:sz w:val="24"/>
          <w:szCs w:val="24"/>
        </w:rPr>
        <w:t>ü</w:t>
      </w:r>
      <w:r>
        <w:rPr>
          <w:rFonts w:ascii="Times New Roman" w:eastAsia="Times New Roman" w:hAnsi="Times New Roman"/>
          <w:color w:val="000000"/>
          <w:sz w:val="24"/>
          <w:szCs w:val="24"/>
        </w:rPr>
        <w:t>lmesidir.(Orta/Yüksek)</w:t>
      </w:r>
    </w:p>
    <w:p>
      <w:pPr>
        <w:pStyle w:val="ListeParagraf"/>
        <w:numPr>
          <w:ilvl w:val="0"/>
          <w:numId w:val="18"/>
        </w:numPr>
        <w:pBdr>
          <w:top w:val="nil"/>
          <w:left w:val="nil"/>
          <w:bottom w:val="nil"/>
          <w:right w:val="nil"/>
          <w:between w:val="nil"/>
        </w:pBdr>
        <w:ind w:left="284" w:hanging="284"/>
        <w:jc w:val="both"/>
        <w:rPr>
          <w:rFonts w:ascii="Times New Roman" w:eastAsia="Times New Roman" w:hAnsi="Times New Roman"/>
          <w:color w:val="000000"/>
          <w:sz w:val="24"/>
          <w:szCs w:val="24"/>
        </w:rPr>
      </w:pPr>
      <w:r>
        <w:rPr>
          <w:rFonts w:ascii="Times New Roman" w:eastAsia="Times New Roman" w:hAnsi="Times New Roman"/>
          <w:b/>
          <w:bCs/>
          <w:i/>
          <w:color w:val="000000"/>
          <w:sz w:val="24"/>
          <w:szCs w:val="24"/>
        </w:rPr>
        <w:t>Riski Kabul etme:</w:t>
      </w:r>
      <w:r>
        <w:rPr>
          <w:rFonts w:ascii="Times New Roman" w:eastAsia="Times New Roman" w:hAnsi="Times New Roman"/>
          <w:color w:val="000000"/>
          <w:sz w:val="24"/>
          <w:szCs w:val="24"/>
        </w:rPr>
        <w:t xml:space="preserve"> Mevcut riski oldu</w:t>
      </w:r>
      <w:r>
        <w:rPr>
          <w:rFonts w:ascii="Times New Roman" w:eastAsia="Times New Roman" w:hAnsi="Times New Roman" w:hint="eastAsia"/>
          <w:color w:val="000000"/>
          <w:sz w:val="24"/>
          <w:szCs w:val="24"/>
        </w:rPr>
        <w:t>ğ</w:t>
      </w:r>
      <w:r>
        <w:rPr>
          <w:rFonts w:ascii="Times New Roman" w:eastAsia="Times New Roman" w:hAnsi="Times New Roman"/>
          <w:color w:val="000000"/>
          <w:sz w:val="24"/>
          <w:szCs w:val="24"/>
        </w:rPr>
        <w:t>u gibi kabul etme, sonuçlarına razı olma karar</w:t>
      </w:r>
      <w:r>
        <w:rPr>
          <w:rFonts w:ascii="Times New Roman" w:eastAsia="Times New Roman" w:hAnsi="Times New Roman" w:hint="eastAsia"/>
          <w:color w:val="000000"/>
          <w:sz w:val="24"/>
          <w:szCs w:val="24"/>
        </w:rPr>
        <w:t>ı</w:t>
      </w:r>
      <w:r>
        <w:rPr>
          <w:rFonts w:ascii="Times New Roman" w:eastAsia="Times New Roman" w:hAnsi="Times New Roman"/>
          <w:color w:val="000000"/>
          <w:sz w:val="24"/>
          <w:szCs w:val="24"/>
        </w:rPr>
        <w:t>d</w:t>
      </w:r>
      <w:r>
        <w:rPr>
          <w:rFonts w:ascii="Times New Roman" w:eastAsia="Times New Roman" w:hAnsi="Times New Roman" w:hint="eastAsia"/>
          <w:color w:val="000000"/>
          <w:sz w:val="24"/>
          <w:szCs w:val="24"/>
        </w:rPr>
        <w:t>ı</w:t>
      </w:r>
      <w:r>
        <w:rPr>
          <w:rFonts w:ascii="Times New Roman" w:eastAsia="Times New Roman" w:hAnsi="Times New Roman"/>
          <w:color w:val="000000"/>
          <w:sz w:val="24"/>
          <w:szCs w:val="24"/>
        </w:rPr>
        <w:t>r. (Düşük)</w:t>
      </w:r>
    </w:p>
    <w:p>
      <w:pPr>
        <w:pStyle w:val="ListeParagraf"/>
        <w:numPr>
          <w:ilvl w:val="0"/>
          <w:numId w:val="18"/>
        </w:numPr>
        <w:pBdr>
          <w:top w:val="nil"/>
          <w:left w:val="nil"/>
          <w:bottom w:val="nil"/>
          <w:right w:val="nil"/>
          <w:between w:val="nil"/>
        </w:pBdr>
        <w:ind w:left="284" w:hanging="284"/>
        <w:jc w:val="both"/>
        <w:rPr>
          <w:rFonts w:ascii="Times New Roman" w:eastAsia="Times New Roman" w:hAnsi="Times New Roman"/>
          <w:color w:val="000000"/>
          <w:sz w:val="24"/>
          <w:szCs w:val="24"/>
        </w:rPr>
      </w:pPr>
      <w:r>
        <w:rPr>
          <w:rFonts w:ascii="Times New Roman" w:eastAsia="Times New Roman" w:hAnsi="Times New Roman"/>
          <w:b/>
          <w:bCs/>
          <w:i/>
          <w:color w:val="000000"/>
          <w:sz w:val="24"/>
          <w:szCs w:val="24"/>
        </w:rPr>
        <w:t>Riski Devretme:</w:t>
      </w:r>
      <w:r>
        <w:rPr>
          <w:rFonts w:ascii="Times New Roman" w:eastAsia="Times New Roman" w:hAnsi="Times New Roman"/>
          <w:color w:val="000000"/>
          <w:sz w:val="24"/>
          <w:szCs w:val="24"/>
        </w:rPr>
        <w:t xml:space="preserve"> Riskin ba</w:t>
      </w:r>
      <w:r>
        <w:rPr>
          <w:rFonts w:ascii="Times New Roman" w:eastAsia="Times New Roman" w:hAnsi="Times New Roman" w:hint="eastAsia"/>
          <w:color w:val="000000"/>
          <w:sz w:val="24"/>
          <w:szCs w:val="24"/>
        </w:rPr>
        <w:t>ş</w:t>
      </w:r>
      <w:r>
        <w:rPr>
          <w:rFonts w:ascii="Times New Roman" w:eastAsia="Times New Roman" w:hAnsi="Times New Roman"/>
          <w:color w:val="000000"/>
          <w:sz w:val="24"/>
          <w:szCs w:val="24"/>
        </w:rPr>
        <w:t>ka birime devredilmesidir. (Düşük/Orta/Yüksek)</w:t>
      </w:r>
    </w:p>
    <w:p>
      <w:pPr>
        <w:pStyle w:val="ListeParagraf"/>
        <w:numPr>
          <w:ilvl w:val="0"/>
          <w:numId w:val="18"/>
        </w:numPr>
        <w:pBdr>
          <w:top w:val="nil"/>
          <w:left w:val="nil"/>
          <w:bottom w:val="nil"/>
          <w:right w:val="nil"/>
          <w:between w:val="nil"/>
        </w:pBdr>
        <w:spacing w:after="0"/>
        <w:ind w:left="284" w:hanging="284"/>
        <w:jc w:val="both"/>
        <w:rPr>
          <w:rFonts w:ascii="Times New Roman" w:eastAsia="Times New Roman" w:hAnsi="Times New Roman"/>
          <w:color w:val="000000"/>
          <w:sz w:val="24"/>
          <w:szCs w:val="24"/>
        </w:rPr>
      </w:pPr>
      <w:r>
        <w:rPr>
          <w:rFonts w:ascii="Times New Roman" w:eastAsia="Times New Roman" w:hAnsi="Times New Roman"/>
          <w:b/>
          <w:bCs/>
          <w:i/>
          <w:color w:val="000000"/>
          <w:sz w:val="24"/>
          <w:szCs w:val="24"/>
        </w:rPr>
        <w:t>Riskten Ka</w:t>
      </w:r>
      <w:r>
        <w:rPr>
          <w:rFonts w:ascii="Times New Roman" w:eastAsia="Times New Roman" w:hAnsi="Times New Roman" w:hint="eastAsia"/>
          <w:b/>
          <w:bCs/>
          <w:i/>
          <w:color w:val="000000"/>
          <w:sz w:val="24"/>
          <w:szCs w:val="24"/>
        </w:rPr>
        <w:t>çı</w:t>
      </w:r>
      <w:r>
        <w:rPr>
          <w:rFonts w:ascii="Times New Roman" w:eastAsia="Times New Roman" w:hAnsi="Times New Roman"/>
          <w:b/>
          <w:bCs/>
          <w:i/>
          <w:color w:val="000000"/>
          <w:sz w:val="24"/>
          <w:szCs w:val="24"/>
        </w:rPr>
        <w:t>nma:</w:t>
      </w:r>
      <w:r>
        <w:rPr>
          <w:rFonts w:ascii="Times New Roman" w:eastAsia="Times New Roman" w:hAnsi="Times New Roman"/>
          <w:color w:val="000000"/>
          <w:sz w:val="24"/>
          <w:szCs w:val="24"/>
        </w:rPr>
        <w:t xml:space="preserve"> Riske neden olan faaliyete ba</w:t>
      </w:r>
      <w:r>
        <w:rPr>
          <w:rFonts w:ascii="Times New Roman" w:eastAsia="Times New Roman" w:hAnsi="Times New Roman" w:hint="eastAsia"/>
          <w:color w:val="000000"/>
          <w:sz w:val="24"/>
          <w:szCs w:val="24"/>
        </w:rPr>
        <w:t>ş</w:t>
      </w:r>
      <w:r>
        <w:rPr>
          <w:rFonts w:ascii="Times New Roman" w:eastAsia="Times New Roman" w:hAnsi="Times New Roman"/>
          <w:color w:val="000000"/>
          <w:sz w:val="24"/>
          <w:szCs w:val="24"/>
        </w:rPr>
        <w:t>lamama veya devam etmeme karar vererek riski terk etmektir. (Orta/Yüksek)</w:t>
      </w:r>
    </w:p>
    <w:p>
      <w:pPr>
        <w:pBdr>
          <w:top w:val="nil"/>
          <w:left w:val="nil"/>
          <w:bottom w:val="nil"/>
          <w:right w:val="nil"/>
          <w:between w:val="nil"/>
        </w:pBdr>
        <w:spacing w:after="0"/>
        <w:jc w:val="both"/>
        <w:rPr>
          <w:rFonts w:ascii="Times New Roman" w:eastAsia="Times New Roman" w:hAnsi="Times New Roman"/>
          <w:color w:val="000000"/>
        </w:rPr>
      </w:pPr>
    </w:p>
    <w:p>
      <w:pPr>
        <w:pStyle w:val="ListeParagraf"/>
        <w:numPr>
          <w:ilvl w:val="1"/>
          <w:numId w:val="1"/>
        </w:numPr>
        <w:pBdr>
          <w:top w:val="nil"/>
          <w:left w:val="nil"/>
          <w:bottom w:val="nil"/>
          <w:right w:val="nil"/>
          <w:between w:val="nil"/>
        </w:pBdr>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Risklerin Sıralanması </w:t>
      </w:r>
    </w:p>
    <w:p>
      <w:pPr>
        <w:pBdr>
          <w:top w:val="nil"/>
          <w:left w:val="nil"/>
          <w:bottom w:val="nil"/>
          <w:right w:val="nil"/>
          <w:between w:val="nil"/>
        </w:pBdr>
        <w:jc w:val="both"/>
        <w:rPr>
          <w:rFonts w:ascii="Times New Roman" w:eastAsia="Times New Roman" w:hAnsi="Times New Roman"/>
          <w:color w:val="FF0000"/>
          <w:sz w:val="24"/>
          <w:szCs w:val="24"/>
        </w:rPr>
      </w:pPr>
      <w:r>
        <w:rPr>
          <w:rFonts w:ascii="Times New Roman" w:eastAsia="Times New Roman" w:hAnsi="Times New Roman"/>
          <w:sz w:val="24"/>
          <w:szCs w:val="24"/>
        </w:rPr>
        <w:t>Risk değerlendirilmesi ile ortaya çıkan puanlar, en yüksek puan başta olmak üzere önem sırasına konulur. Her bir birim, kendilerine göre risk seviyesini belirleyerek bu doğrultuda sıralama yapar. Riskler her zaman puan bazında değerlendirilmez. Yönetim, puanı düşük olsa bile, olasılığı çok düşük ancak etki alanı çok yüksek olan, yani hedefleri direkt etkileme olasılığı olan riskleri sıralamada en öne koyabilir. Risklerin sıralaması belirlendikten sonra, bu riskler için kararlar alınır ve uygulanacak eylemler belirlenir</w:t>
      </w:r>
      <w:r>
        <w:rPr>
          <w:rFonts w:ascii="Times New Roman" w:eastAsia="Times New Roman" w:hAnsi="Times New Roman"/>
          <w:color w:val="FF0000"/>
          <w:sz w:val="24"/>
          <w:szCs w:val="24"/>
        </w:rPr>
        <w:t>.</w:t>
      </w:r>
    </w:p>
    <w:p>
      <w:pPr>
        <w:pStyle w:val="ListeParagraf"/>
        <w:numPr>
          <w:ilvl w:val="1"/>
          <w:numId w:val="1"/>
        </w:numPr>
        <w:pBdr>
          <w:top w:val="nil"/>
          <w:left w:val="nil"/>
          <w:bottom w:val="nil"/>
          <w:right w:val="nil"/>
          <w:between w:val="nil"/>
        </w:pBdr>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 xml:space="preserve">Risklere Yanıt Verilmesi  </w:t>
      </w:r>
    </w:p>
    <w:p>
      <w:pPr>
        <w:pBdr>
          <w:top w:val="nil"/>
          <w:left w:val="nil"/>
          <w:bottom w:val="nil"/>
          <w:right w:val="nil"/>
          <w:between w:val="nil"/>
        </w:pBdr>
        <w:jc w:val="both"/>
        <w:rPr>
          <w:rFonts w:ascii="Times New Roman" w:eastAsia="Times New Roman" w:hAnsi="Times New Roman"/>
          <w:sz w:val="24"/>
          <w:szCs w:val="24"/>
        </w:rPr>
      </w:pPr>
      <w:r>
        <w:rPr>
          <w:rFonts w:ascii="Times New Roman" w:eastAsia="Times New Roman" w:hAnsi="Times New Roman"/>
          <w:sz w:val="24"/>
          <w:szCs w:val="24"/>
        </w:rPr>
        <w:t>Risklere yanıt verme, birimler tarafından tespit edilen ve belirlenen risk seviyeleri çerçevesinde değerlendirilen riskler için gerçekleştirilecek tedbir ve eylemlerin oluşturulmasını içerir. Bu bağlamda, beklenilen tehditlerin azaltılması ya da meydana gelebilecek fırsatların değerlendirilmesi hedeflenir. Bununla beraber riskin olasılığını ve/veya etkisini azaltarak daha önce tespit edilen hedefe etkin bir şekilde ulaşmayı amaçlar.</w:t>
      </w:r>
    </w:p>
    <w:p>
      <w:pPr>
        <w:pStyle w:val="ListeParagraf"/>
        <w:widowControl w:val="0"/>
        <w:numPr>
          <w:ilvl w:val="1"/>
          <w:numId w:val="1"/>
        </w:numPr>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Risklerin Analizi ve Raporlanması </w:t>
      </w:r>
    </w:p>
    <w:p>
      <w:pPr>
        <w:widowControl w:val="0"/>
        <w:pBdr>
          <w:top w:val="nil"/>
          <w:left w:val="nil"/>
          <w:bottom w:val="nil"/>
          <w:right w:val="nil"/>
          <w:between w:val="nil"/>
        </w:pBdr>
        <w:jc w:val="both"/>
        <w:rPr>
          <w:rFonts w:ascii="Times New Roman" w:eastAsia="Times New Roman" w:hAnsi="Times New Roman"/>
          <w:sz w:val="24"/>
          <w:szCs w:val="24"/>
        </w:rPr>
      </w:pPr>
      <w:r>
        <w:rPr>
          <w:rFonts w:ascii="Times New Roman" w:eastAsia="Times New Roman" w:hAnsi="Times New Roman"/>
          <w:sz w:val="24"/>
          <w:szCs w:val="24"/>
        </w:rPr>
        <w:t xml:space="preserve">Standart şartlar temel alındığında risk analiz ve değerlendirmesi yılda en az bir defa olarak yapılır. Zamanla ortamın dinamiklerinden kaynaklı değişkenlik ya da gerçekleştirilmesi düşünülen önlemler sonucunda risklerin olasılık-etki/şiddet düzeyinde farklılık gözlemlenebileceği bilinmektedir. Dinamik koşullar akabinde oluşabilecek yeni risk alanlarının ortaya çıkmasına sebep olabilir. Bu nedenle Başkent Üniversitesi, az tehlikeli iş kolunda bile belirlenen risklerin ve risk yönetim sürecinin bütünüyle değerlendirilmesi amacıyla yılda bir (1) defa iç tetkik aracılığıyla risk analizi yapar. Ortaya çıkan sonuçlar, Kalite Koordinatörlüğü Birimine sunularak, bu çalışmalar gerçekleştirilen koordinatörlük toplantısında rapor şeklinde sunulur. </w:t>
      </w:r>
    </w:p>
    <w:p>
      <w:pPr>
        <w:pStyle w:val="ListeParagraf"/>
        <w:numPr>
          <w:ilvl w:val="1"/>
          <w:numId w:val="1"/>
        </w:numPr>
        <w:pBdr>
          <w:top w:val="nil"/>
          <w:left w:val="nil"/>
          <w:bottom w:val="nil"/>
          <w:right w:val="nil"/>
          <w:between w:val="nil"/>
        </w:pBdr>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Fırsatların Belirlenmesi  </w:t>
      </w:r>
    </w:p>
    <w:p>
      <w:pPr>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Her birim risk değerlendirmesini gerçekleştirdiğinde olası risklerin getireceği fırsatlar da risk-fırsat-etki değerlendirme planında değerlendirilmektedir.</w:t>
      </w:r>
    </w:p>
    <w:p>
      <w:pPr>
        <w:pStyle w:val="ListeParagraf"/>
        <w:numPr>
          <w:ilvl w:val="0"/>
          <w:numId w:val="1"/>
        </w:numPr>
        <w:pBdr>
          <w:top w:val="nil"/>
          <w:left w:val="nil"/>
          <w:bottom w:val="nil"/>
          <w:right w:val="nil"/>
          <w:between w:val="nil"/>
        </w:pBdr>
        <w:spacing w:after="0"/>
        <w:jc w:val="both"/>
        <w:rPr>
          <w:rFonts w:ascii="Times New Roman" w:eastAsia="Times New Roman" w:hAnsi="Times New Roman"/>
          <w:b/>
          <w:sz w:val="24"/>
          <w:szCs w:val="24"/>
        </w:rPr>
      </w:pPr>
      <w:r>
        <w:rPr>
          <w:rFonts w:ascii="Times New Roman" w:eastAsia="Times New Roman" w:hAnsi="Times New Roman"/>
          <w:b/>
          <w:sz w:val="24"/>
          <w:szCs w:val="24"/>
        </w:rPr>
        <w:t>KURUMSAL BİLGİ (KAYITLAR)</w:t>
      </w:r>
    </w:p>
    <w:p>
      <w:pPr>
        <w:pBdr>
          <w:top w:val="nil"/>
          <w:left w:val="nil"/>
          <w:bottom w:val="nil"/>
          <w:right w:val="nil"/>
          <w:between w:val="nil"/>
        </w:pBdr>
        <w:jc w:val="both"/>
        <w:rPr>
          <w:rFonts w:ascii="Times New Roman" w:eastAsia="Times New Roman" w:hAnsi="Times New Roman"/>
          <w:sz w:val="24"/>
          <w:szCs w:val="24"/>
        </w:rPr>
      </w:pPr>
      <w:r>
        <w:rPr>
          <w:rFonts w:ascii="Times New Roman" w:eastAsia="Times New Roman" w:hAnsi="Times New Roman"/>
          <w:sz w:val="24"/>
          <w:szCs w:val="24"/>
        </w:rPr>
        <w:t>Bu prosedürün uygulanması sırasında oluşacak tüm kayıtlar, Kalite ve Akreditasyon Koordinatörlüğü ile ilgili birim sorumluları tarafından Dokümante Edilmiş Bilginin Yönetimi Prosedürü (</w:t>
      </w:r>
      <w:proofErr w:type="gramStart"/>
      <w:r>
        <w:rPr>
          <w:rFonts w:ascii="Times New Roman" w:eastAsia="Times New Roman" w:hAnsi="Times New Roman"/>
          <w:sz w:val="24"/>
          <w:szCs w:val="24"/>
        </w:rPr>
        <w:t>BÜ.PRSD</w:t>
      </w:r>
      <w:proofErr w:type="gramEnd"/>
      <w:r>
        <w:rPr>
          <w:rFonts w:ascii="Times New Roman" w:eastAsia="Times New Roman" w:hAnsi="Times New Roman"/>
          <w:sz w:val="24"/>
          <w:szCs w:val="24"/>
        </w:rPr>
        <w:t>.01) ve Kayıtların Kontrolü Prosedüründe (BÜ.PRSD.02) bahsedildiği şekilde muhafaza edilir.</w:t>
      </w:r>
    </w:p>
    <w:p>
      <w:pPr>
        <w:pStyle w:val="ListeParagraf"/>
        <w:numPr>
          <w:ilvl w:val="0"/>
          <w:numId w:val="1"/>
        </w:numPr>
        <w:pBdr>
          <w:top w:val="nil"/>
          <w:left w:val="nil"/>
          <w:bottom w:val="nil"/>
          <w:right w:val="nil"/>
          <w:between w:val="nil"/>
        </w:pBdr>
        <w:spacing w:after="0"/>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İLGİLİ DOKÜMANLAR</w:t>
      </w:r>
    </w:p>
    <w:p>
      <w:pPr>
        <w:numPr>
          <w:ilvl w:val="1"/>
          <w:numId w:val="1"/>
        </w:numPr>
        <w:pBdr>
          <w:top w:val="nil"/>
          <w:left w:val="nil"/>
          <w:bottom w:val="nil"/>
          <w:right w:val="nil"/>
          <w:between w:val="nil"/>
        </w:pBdr>
        <w:spacing w:after="0"/>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İç Kaynaklı Dokümanlar</w:t>
      </w:r>
    </w:p>
    <w:p>
      <w:pPr>
        <w:numPr>
          <w:ilvl w:val="0"/>
          <w:numId w:val="15"/>
        </w:numPr>
        <w:pBdr>
          <w:top w:val="nil"/>
          <w:left w:val="nil"/>
          <w:bottom w:val="nil"/>
          <w:right w:val="nil"/>
          <w:between w:val="nil"/>
        </w:pBd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Bağlam/Risk/Tehdit/Fırsat/Etki Değerlendirme Planı Formu (</w:t>
      </w:r>
      <w:proofErr w:type="gramStart"/>
      <w:r>
        <w:rPr>
          <w:rFonts w:ascii="Times New Roman" w:eastAsia="Times New Roman" w:hAnsi="Times New Roman"/>
          <w:color w:val="000000"/>
          <w:sz w:val="24"/>
          <w:szCs w:val="24"/>
        </w:rPr>
        <w:t>BÜKAK.FRM</w:t>
      </w:r>
      <w:proofErr w:type="gramEnd"/>
      <w:r>
        <w:rPr>
          <w:rFonts w:ascii="Times New Roman" w:eastAsia="Times New Roman" w:hAnsi="Times New Roman"/>
          <w:color w:val="000000"/>
          <w:sz w:val="24"/>
          <w:szCs w:val="24"/>
        </w:rPr>
        <w:t>.08)</w:t>
      </w:r>
    </w:p>
    <w:p>
      <w:pPr>
        <w:numPr>
          <w:ilvl w:val="0"/>
          <w:numId w:val="15"/>
        </w:numPr>
        <w:pBdr>
          <w:top w:val="nil"/>
          <w:left w:val="nil"/>
          <w:bottom w:val="nil"/>
          <w:right w:val="nil"/>
          <w:between w:val="nil"/>
        </w:pBd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Risk Analiz Formu (BÜKAK.FRM.09)</w:t>
      </w:r>
      <w:bookmarkStart w:id="1" w:name="_GoBack"/>
      <w:bookmarkEnd w:id="1"/>
    </w:p>
    <w:p>
      <w:pPr>
        <w:numPr>
          <w:ilvl w:val="0"/>
          <w:numId w:val="15"/>
        </w:numPr>
        <w:pBdr>
          <w:top w:val="nil"/>
          <w:left w:val="nil"/>
          <w:bottom w:val="nil"/>
          <w:right w:val="nil"/>
          <w:between w:val="nil"/>
        </w:pBd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SWOT Analizi Formu (</w:t>
      </w:r>
      <w:proofErr w:type="gramStart"/>
      <w:r>
        <w:rPr>
          <w:rFonts w:ascii="Times New Roman" w:eastAsia="Times New Roman" w:hAnsi="Times New Roman"/>
          <w:color w:val="000000"/>
          <w:sz w:val="24"/>
          <w:szCs w:val="24"/>
        </w:rPr>
        <w:t>BÜKAK.FRM</w:t>
      </w:r>
      <w:proofErr w:type="gramEnd"/>
      <w:r>
        <w:rPr>
          <w:rFonts w:ascii="Times New Roman" w:eastAsia="Times New Roman" w:hAnsi="Times New Roman"/>
          <w:color w:val="000000"/>
          <w:sz w:val="24"/>
          <w:szCs w:val="24"/>
        </w:rPr>
        <w:t>.10)</w:t>
      </w:r>
    </w:p>
    <w:p>
      <w:pPr>
        <w:numPr>
          <w:ilvl w:val="0"/>
          <w:numId w:val="15"/>
        </w:numPr>
        <w:spacing w:after="0"/>
        <w:rPr>
          <w:rFonts w:ascii="Times New Roman" w:eastAsia="Times New Roman" w:hAnsi="Times New Roman"/>
          <w:sz w:val="24"/>
          <w:szCs w:val="24"/>
        </w:rPr>
      </w:pPr>
      <w:r>
        <w:rPr>
          <w:rFonts w:ascii="Times New Roman" w:eastAsia="Times New Roman" w:hAnsi="Times New Roman"/>
          <w:sz w:val="24"/>
          <w:szCs w:val="24"/>
        </w:rPr>
        <w:t>Birimlere ait ilgili süreç kartları</w:t>
      </w:r>
    </w:p>
    <w:p>
      <w:pPr>
        <w:numPr>
          <w:ilvl w:val="0"/>
          <w:numId w:val="15"/>
        </w:numPr>
        <w:spacing w:after="0"/>
        <w:rPr>
          <w:rFonts w:ascii="Times New Roman" w:eastAsia="Times New Roman" w:hAnsi="Times New Roman"/>
          <w:sz w:val="24"/>
          <w:szCs w:val="24"/>
        </w:rPr>
      </w:pPr>
      <w:r>
        <w:rPr>
          <w:rFonts w:ascii="Times New Roman" w:eastAsia="Times New Roman" w:hAnsi="Times New Roman"/>
          <w:sz w:val="24"/>
          <w:szCs w:val="24"/>
        </w:rPr>
        <w:t xml:space="preserve">Birimlere ait ilgili Düzeltici Faaliyet Formları </w:t>
      </w:r>
    </w:p>
    <w:p>
      <w:pPr>
        <w:numPr>
          <w:ilvl w:val="1"/>
          <w:numId w:val="1"/>
        </w:numPr>
        <w:pBdr>
          <w:top w:val="nil"/>
          <w:left w:val="nil"/>
          <w:bottom w:val="nil"/>
          <w:right w:val="nil"/>
          <w:between w:val="nil"/>
        </w:pBdr>
        <w:spacing w:after="0"/>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Dış Kaynaklı Dokümanlar</w:t>
      </w:r>
    </w:p>
    <w:p>
      <w:pPr>
        <w:numPr>
          <w:ilvl w:val="0"/>
          <w:numId w:val="6"/>
        </w:numPr>
        <w:rPr>
          <w:rFonts w:ascii="Times New Roman" w:eastAsia="Times New Roman" w:hAnsi="Times New Roman"/>
          <w:sz w:val="24"/>
          <w:szCs w:val="24"/>
        </w:rPr>
      </w:pPr>
      <w:r>
        <w:rPr>
          <w:rFonts w:ascii="Times New Roman" w:eastAsia="Times New Roman" w:hAnsi="Times New Roman"/>
          <w:sz w:val="24"/>
          <w:szCs w:val="24"/>
        </w:rPr>
        <w:t>TS EN ISO 9001: 2015 madde 6.1 (Risk ve fırsatları belirleme faaliyetleri) (</w:t>
      </w:r>
      <w:proofErr w:type="gramStart"/>
      <w:r>
        <w:rPr>
          <w:rFonts w:ascii="Times New Roman" w:eastAsia="Times New Roman" w:hAnsi="Times New Roman"/>
          <w:sz w:val="24"/>
          <w:szCs w:val="24"/>
        </w:rPr>
        <w:t>BÜ.DKD</w:t>
      </w:r>
      <w:proofErr w:type="gramEnd"/>
      <w:r>
        <w:rPr>
          <w:rFonts w:ascii="Times New Roman" w:eastAsia="Times New Roman" w:hAnsi="Times New Roman"/>
          <w:sz w:val="24"/>
          <w:szCs w:val="24"/>
        </w:rPr>
        <w:t>.08)</w:t>
      </w:r>
    </w:p>
    <w:sectPr>
      <w:headerReference w:type="default" r:id="rId8"/>
      <w:footerReference w:type="default" r:id="rId9"/>
      <w:pgSz w:w="11906" w:h="16838"/>
      <w:pgMar w:top="1417" w:right="1417" w:bottom="1417" w:left="1417" w:header="283" w:footer="283"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3"/>
      <w:tblW w:w="9782" w:type="dxa"/>
      <w:tblInd w:w="-176" w:type="dxa"/>
      <w:tblLook w:val="04A0" w:firstRow="1" w:lastRow="0" w:firstColumn="1" w:lastColumn="0" w:noHBand="0" w:noVBand="1"/>
    </w:tblPr>
    <w:tblGrid>
      <w:gridCol w:w="3196"/>
      <w:gridCol w:w="3021"/>
      <w:gridCol w:w="3565"/>
    </w:tblGrid>
    <w:tr>
      <w:trPr>
        <w:trHeight w:val="393"/>
      </w:trPr>
      <w:tc>
        <w:tcPr>
          <w:tcW w:w="3196" w:type="dxa"/>
        </w:tcPr>
        <w:p>
          <w:pPr>
            <w:tabs>
              <w:tab w:val="center" w:pos="4536"/>
              <w:tab w:val="right" w:pos="9072"/>
            </w:tabs>
            <w:jc w:val="center"/>
            <w:rPr>
              <w:rFonts w:ascii="Times New Roman" w:hAnsi="Times New Roman"/>
              <w:b/>
              <w:color w:val="000000"/>
            </w:rPr>
          </w:pPr>
          <w:r>
            <w:rPr>
              <w:rFonts w:ascii="Times New Roman" w:hAnsi="Times New Roman"/>
              <w:b/>
              <w:color w:val="000000"/>
            </w:rPr>
            <w:t>Hazırlayan</w:t>
          </w:r>
        </w:p>
      </w:tc>
      <w:tc>
        <w:tcPr>
          <w:tcW w:w="3021" w:type="dxa"/>
        </w:tcPr>
        <w:p>
          <w:pPr>
            <w:tabs>
              <w:tab w:val="center" w:pos="4536"/>
              <w:tab w:val="right" w:pos="9072"/>
            </w:tabs>
            <w:jc w:val="center"/>
            <w:rPr>
              <w:rFonts w:ascii="Times New Roman" w:hAnsi="Times New Roman"/>
              <w:b/>
              <w:color w:val="000000"/>
            </w:rPr>
          </w:pPr>
          <w:r>
            <w:rPr>
              <w:rFonts w:ascii="Times New Roman" w:hAnsi="Times New Roman"/>
              <w:b/>
              <w:color w:val="000000"/>
            </w:rPr>
            <w:t>Kontrol Eden</w:t>
          </w:r>
        </w:p>
      </w:tc>
      <w:tc>
        <w:tcPr>
          <w:tcW w:w="3565" w:type="dxa"/>
        </w:tcPr>
        <w:p>
          <w:pPr>
            <w:tabs>
              <w:tab w:val="center" w:pos="4536"/>
              <w:tab w:val="right" w:pos="9072"/>
            </w:tabs>
            <w:jc w:val="center"/>
            <w:rPr>
              <w:rFonts w:ascii="Times New Roman" w:hAnsi="Times New Roman"/>
              <w:b/>
              <w:color w:val="000000"/>
            </w:rPr>
          </w:pPr>
          <w:r>
            <w:rPr>
              <w:rFonts w:ascii="Times New Roman" w:hAnsi="Times New Roman"/>
              <w:b/>
              <w:color w:val="000000"/>
            </w:rPr>
            <w:t>Onaylayan</w:t>
          </w:r>
        </w:p>
      </w:tc>
    </w:tr>
    <w:tr>
      <w:trPr>
        <w:trHeight w:val="741"/>
      </w:trPr>
      <w:tc>
        <w:tcPr>
          <w:tcW w:w="3196" w:type="dxa"/>
        </w:tcPr>
        <w:p>
          <w:pPr>
            <w:tabs>
              <w:tab w:val="center" w:pos="4536"/>
              <w:tab w:val="right" w:pos="9072"/>
            </w:tabs>
            <w:jc w:val="center"/>
            <w:rPr>
              <w:rFonts w:ascii="Times New Roman" w:hAnsi="Times New Roman"/>
              <w:b/>
              <w:color w:val="000000"/>
            </w:rPr>
          </w:pPr>
        </w:p>
        <w:p>
          <w:pPr>
            <w:tabs>
              <w:tab w:val="center" w:pos="4536"/>
              <w:tab w:val="right" w:pos="9072"/>
            </w:tabs>
            <w:jc w:val="center"/>
            <w:rPr>
              <w:rFonts w:ascii="Times New Roman" w:hAnsi="Times New Roman"/>
              <w:b/>
              <w:color w:val="000000"/>
            </w:rPr>
          </w:pPr>
        </w:p>
        <w:p>
          <w:pPr>
            <w:tabs>
              <w:tab w:val="center" w:pos="4536"/>
              <w:tab w:val="right" w:pos="9072"/>
            </w:tabs>
            <w:jc w:val="center"/>
            <w:rPr>
              <w:rFonts w:ascii="Times New Roman" w:hAnsi="Times New Roman"/>
              <w:b/>
              <w:color w:val="000000"/>
            </w:rPr>
          </w:pPr>
        </w:p>
      </w:tc>
      <w:tc>
        <w:tcPr>
          <w:tcW w:w="3021" w:type="dxa"/>
        </w:tcPr>
        <w:p>
          <w:pPr>
            <w:tabs>
              <w:tab w:val="center" w:pos="4536"/>
              <w:tab w:val="right" w:pos="9072"/>
            </w:tabs>
            <w:jc w:val="center"/>
            <w:rPr>
              <w:rFonts w:ascii="Times New Roman" w:hAnsi="Times New Roman"/>
              <w:b/>
              <w:color w:val="000000"/>
            </w:rPr>
          </w:pPr>
        </w:p>
      </w:tc>
      <w:tc>
        <w:tcPr>
          <w:tcW w:w="3565" w:type="dxa"/>
        </w:tcPr>
        <w:p>
          <w:pPr>
            <w:tabs>
              <w:tab w:val="center" w:pos="4536"/>
              <w:tab w:val="right" w:pos="9072"/>
            </w:tabs>
            <w:jc w:val="center"/>
            <w:rPr>
              <w:rFonts w:ascii="Times New Roman" w:hAnsi="Times New Roman"/>
              <w:b/>
              <w:color w:val="000000"/>
            </w:rPr>
          </w:pPr>
        </w:p>
      </w:tc>
    </w:tr>
  </w:tbl>
  <w:p>
    <w:pPr>
      <w:widowControl w:val="0"/>
      <w:pBdr>
        <w:top w:val="nil"/>
        <w:left w:val="nil"/>
        <w:bottom w:val="nil"/>
        <w:right w:val="nil"/>
        <w:between w:val="nil"/>
      </w:pBdr>
      <w:spacing w:after="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widowControl w:val="0"/>
      <w:pBdr>
        <w:top w:val="nil"/>
        <w:left w:val="nil"/>
        <w:bottom w:val="nil"/>
        <w:right w:val="nil"/>
        <w:between w:val="nil"/>
      </w:pBdr>
      <w:spacing w:after="0"/>
      <w:rPr>
        <w:rFonts w:ascii="Times New Roman" w:eastAsia="Times New Roman" w:hAnsi="Times New Roman"/>
        <w:sz w:val="24"/>
        <w:szCs w:val="24"/>
      </w:rPr>
    </w:pPr>
  </w:p>
  <w:p>
    <w:pPr>
      <w:widowControl w:val="0"/>
      <w:pBdr>
        <w:top w:val="nil"/>
        <w:left w:val="nil"/>
        <w:bottom w:val="nil"/>
        <w:right w:val="nil"/>
        <w:between w:val="nil"/>
      </w:pBdr>
      <w:spacing w:after="0"/>
      <w:rPr>
        <w:rFonts w:ascii="Times New Roman" w:eastAsia="Times New Roman" w:hAnsi="Times New Roman"/>
        <w:sz w:val="24"/>
        <w:szCs w:val="24"/>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529"/>
      <w:gridCol w:w="1417"/>
      <w:gridCol w:w="1418"/>
    </w:tblGrid>
    <w:tr>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pPr>
            <w:tabs>
              <w:tab w:val="center" w:pos="4536"/>
              <w:tab w:val="right" w:pos="9072"/>
            </w:tabs>
            <w:spacing w:after="0"/>
          </w:pPr>
          <w:r>
            <w:rPr>
              <w:noProof/>
            </w:rPr>
            <w:drawing>
              <wp:inline distT="0" distB="0" distL="0" distR="0">
                <wp:extent cx="647700" cy="622300"/>
                <wp:effectExtent l="19050" t="0" r="0" b="0"/>
                <wp:docPr id="11"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529" w:type="dxa"/>
          <w:vMerge w:val="restart"/>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jc w:val="center"/>
            <w:rPr>
              <w:rFonts w:ascii="Arial" w:eastAsia="Arial" w:hAnsi="Arial" w:cs="Arial"/>
              <w:color w:val="000000"/>
            </w:rPr>
          </w:pPr>
        </w:p>
        <w:p>
          <w:pPr>
            <w:tabs>
              <w:tab w:val="center" w:pos="4536"/>
              <w:tab w:val="right" w:pos="9072"/>
            </w:tabs>
            <w:spacing w:after="0"/>
            <w:jc w:val="center"/>
            <w:rPr>
              <w:rFonts w:ascii="Times New Roman" w:eastAsia="Arial" w:hAnsi="Times New Roman"/>
              <w:b/>
              <w:sz w:val="28"/>
              <w:szCs w:val="28"/>
            </w:rPr>
          </w:pPr>
          <w:r>
            <w:rPr>
              <w:rFonts w:ascii="Times New Roman" w:eastAsia="Arial" w:hAnsi="Times New Roman"/>
              <w:b/>
              <w:sz w:val="28"/>
              <w:szCs w:val="28"/>
            </w:rPr>
            <w:t xml:space="preserve">RİSK VE FIRSATLAR </w:t>
          </w:r>
        </w:p>
        <w:p>
          <w:pPr>
            <w:tabs>
              <w:tab w:val="center" w:pos="4536"/>
              <w:tab w:val="right" w:pos="9072"/>
            </w:tabs>
            <w:spacing w:after="0"/>
            <w:jc w:val="center"/>
            <w:rPr>
              <w:rFonts w:ascii="Times New Roman" w:eastAsia="Arial" w:hAnsi="Times New Roman"/>
              <w:b/>
              <w:color w:val="000000"/>
              <w:sz w:val="28"/>
              <w:szCs w:val="28"/>
            </w:rPr>
          </w:pPr>
          <w:r>
            <w:rPr>
              <w:rFonts w:ascii="Times New Roman" w:eastAsia="Arial" w:hAnsi="Times New Roman"/>
              <w:b/>
              <w:sz w:val="28"/>
              <w:szCs w:val="28"/>
            </w:rPr>
            <w:t>PROSEDÜRÜ</w:t>
          </w:r>
          <w:r>
            <w:rPr>
              <w:rFonts w:ascii="Times New Roman" w:eastAsia="Arial" w:hAnsi="Times New Roman"/>
              <w:b/>
              <w:color w:val="000000"/>
              <w:sz w:val="28"/>
              <w:szCs w:val="28"/>
            </w:rPr>
            <w:t xml:space="preserve"> </w:t>
          </w:r>
        </w:p>
      </w:tc>
      <w:tc>
        <w:tcPr>
          <w:tcW w:w="1417"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Doküman No</w:t>
          </w:r>
        </w:p>
      </w:tc>
      <w:tc>
        <w:tcPr>
          <w:tcW w:w="1418"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proofErr w:type="gramStart"/>
          <w:r>
            <w:rPr>
              <w:rFonts w:ascii="Times New Roman" w:eastAsia="Arial" w:hAnsi="Times New Roman"/>
              <w:color w:val="000000"/>
              <w:sz w:val="18"/>
              <w:szCs w:val="18"/>
            </w:rPr>
            <w:t>BÜ.PRSD</w:t>
          </w:r>
          <w:proofErr w:type="gramEnd"/>
          <w:r>
            <w:rPr>
              <w:rFonts w:ascii="Times New Roman" w:eastAsia="Arial" w:hAnsi="Times New Roman"/>
              <w:color w:val="000000"/>
              <w:sz w:val="18"/>
              <w:szCs w:val="18"/>
            </w:rPr>
            <w:t>.06</w:t>
          </w:r>
        </w:p>
      </w:tc>
    </w:tr>
    <w:tr>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Yayım Tarihi</w:t>
          </w:r>
        </w:p>
      </w:tc>
      <w:tc>
        <w:tcPr>
          <w:tcW w:w="1418"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06.01.2023</w:t>
          </w:r>
        </w:p>
      </w:tc>
    </w:tr>
    <w:tr>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Tarihi</w:t>
          </w:r>
        </w:p>
      </w:tc>
      <w:tc>
        <w:tcPr>
          <w:tcW w:w="1418"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11.11.2024</w:t>
          </w:r>
        </w:p>
      </w:tc>
    </w:tr>
    <w:tr>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No</w:t>
          </w:r>
        </w:p>
      </w:tc>
      <w:tc>
        <w:tcPr>
          <w:tcW w:w="1418"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01</w:t>
          </w:r>
        </w:p>
      </w:tc>
    </w:tr>
    <w:tr>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Sayfa</w:t>
          </w:r>
        </w:p>
      </w:tc>
      <w:tc>
        <w:tcPr>
          <w:tcW w:w="1418"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sz w:val="18"/>
              <w:szCs w:val="18"/>
            </w:rPr>
            <w:fldChar w:fldCharType="begin"/>
          </w:r>
          <w:r>
            <w:rPr>
              <w:rFonts w:ascii="Times New Roman" w:eastAsia="Arial" w:hAnsi="Times New Roman"/>
              <w:sz w:val="18"/>
              <w:szCs w:val="18"/>
            </w:rPr>
            <w:instrText>PAGE</w:instrText>
          </w:r>
          <w:r>
            <w:rPr>
              <w:rFonts w:ascii="Times New Roman" w:eastAsia="Arial" w:hAnsi="Times New Roman"/>
              <w:sz w:val="18"/>
              <w:szCs w:val="18"/>
            </w:rPr>
            <w:fldChar w:fldCharType="separate"/>
          </w:r>
          <w:r>
            <w:rPr>
              <w:rFonts w:ascii="Times New Roman" w:eastAsia="Arial" w:hAnsi="Times New Roman"/>
              <w:noProof/>
              <w:sz w:val="18"/>
              <w:szCs w:val="18"/>
            </w:rPr>
            <w:t>7</w:t>
          </w:r>
          <w:r>
            <w:rPr>
              <w:rFonts w:ascii="Times New Roman" w:eastAsia="Arial" w:hAnsi="Times New Roman"/>
              <w:sz w:val="18"/>
              <w:szCs w:val="18"/>
            </w:rPr>
            <w:fldChar w:fldCharType="end"/>
          </w:r>
          <w:r>
            <w:rPr>
              <w:rFonts w:ascii="Times New Roman" w:eastAsia="Arial" w:hAnsi="Times New Roman"/>
              <w:sz w:val="18"/>
              <w:szCs w:val="18"/>
            </w:rPr>
            <w:t xml:space="preserve"> / </w:t>
          </w:r>
          <w:r>
            <w:rPr>
              <w:rFonts w:ascii="Times New Roman" w:eastAsia="Arial" w:hAnsi="Times New Roman"/>
              <w:sz w:val="18"/>
              <w:szCs w:val="18"/>
            </w:rPr>
            <w:fldChar w:fldCharType="begin"/>
          </w:r>
          <w:r>
            <w:rPr>
              <w:rFonts w:ascii="Times New Roman" w:eastAsia="Arial" w:hAnsi="Times New Roman"/>
              <w:sz w:val="18"/>
              <w:szCs w:val="18"/>
            </w:rPr>
            <w:instrText>NUMPAGES</w:instrText>
          </w:r>
          <w:r>
            <w:rPr>
              <w:rFonts w:ascii="Times New Roman" w:eastAsia="Arial" w:hAnsi="Times New Roman"/>
              <w:sz w:val="18"/>
              <w:szCs w:val="18"/>
            </w:rPr>
            <w:fldChar w:fldCharType="separate"/>
          </w:r>
          <w:r>
            <w:rPr>
              <w:rFonts w:ascii="Times New Roman" w:eastAsia="Arial" w:hAnsi="Times New Roman"/>
              <w:noProof/>
              <w:sz w:val="18"/>
              <w:szCs w:val="18"/>
            </w:rPr>
            <w:t>7</w:t>
          </w:r>
          <w:r>
            <w:rPr>
              <w:rFonts w:ascii="Times New Roman" w:eastAsia="Arial" w:hAnsi="Times New Roman"/>
              <w:sz w:val="18"/>
              <w:szCs w:val="18"/>
            </w:rPr>
            <w:fldChar w:fldCharType="end"/>
          </w:r>
        </w:p>
      </w:tc>
    </w:tr>
  </w:tbl>
  <w:p>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E65BE"/>
    <w:multiLevelType w:val="hybridMultilevel"/>
    <w:tmpl w:val="04081718"/>
    <w:lvl w:ilvl="0" w:tplc="041F000D">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
    <w:nsid w:val="03227106"/>
    <w:multiLevelType w:val="multilevel"/>
    <w:tmpl w:val="9A08BAB2"/>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564043E"/>
    <w:multiLevelType w:val="hybridMultilevel"/>
    <w:tmpl w:val="C8BA2F0A"/>
    <w:lvl w:ilvl="0" w:tplc="0A52600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E034914"/>
    <w:multiLevelType w:val="multilevel"/>
    <w:tmpl w:val="7F72C960"/>
    <w:lvl w:ilvl="0">
      <w:start w:val="1"/>
      <w:numFmt w:val="decimal"/>
      <w:lvlText w:val="%1."/>
      <w:lvlJc w:val="left"/>
      <w:pPr>
        <w:ind w:left="720" w:hanging="360"/>
      </w:pPr>
      <w:rPr>
        <w:b/>
        <w:color w:val="002060"/>
      </w:rPr>
    </w:lvl>
    <w:lvl w:ilvl="1">
      <w:start w:val="1"/>
      <w:numFmt w:val="decimal"/>
      <w:isLgl/>
      <w:lvlText w:val="%1.%2."/>
      <w:lvlJc w:val="left"/>
      <w:pPr>
        <w:ind w:left="1080" w:hanging="720"/>
      </w:pPr>
      <w:rPr>
        <w:rFonts w:hint="default"/>
        <w:b/>
        <w:color w:val="00206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105F49C1"/>
    <w:multiLevelType w:val="multilevel"/>
    <w:tmpl w:val="CAE0B260"/>
    <w:lvl w:ilvl="0">
      <w:start w:val="1"/>
      <w:numFmt w:val="decimal"/>
      <w:lvlText w:val="%1."/>
      <w:lvlJc w:val="left"/>
      <w:pPr>
        <w:ind w:left="360" w:hanging="360"/>
      </w:pPr>
    </w:lvl>
    <w:lvl w:ilvl="1">
      <w:start w:val="1"/>
      <w:numFmt w:val="decimal"/>
      <w:lvlText w:val="%1.%2."/>
      <w:lvlJc w:val="left"/>
      <w:pPr>
        <w:ind w:left="432" w:hanging="432"/>
      </w:pPr>
      <w:rPr>
        <w:b/>
        <w:color w:val="auto"/>
        <w:sz w:val="24"/>
        <w:szCs w:val="24"/>
      </w:rPr>
    </w:lvl>
    <w:lvl w:ilvl="2">
      <w:start w:val="1"/>
      <w:numFmt w:val="decimal"/>
      <w:lvlText w:val="%1.%2.%3."/>
      <w:lvlJc w:val="left"/>
      <w:pPr>
        <w:ind w:left="1355"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3E15567"/>
    <w:multiLevelType w:val="multilevel"/>
    <w:tmpl w:val="4770FB5A"/>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4A75D20"/>
    <w:multiLevelType w:val="multilevel"/>
    <w:tmpl w:val="FB605CBC"/>
    <w:lvl w:ilvl="0">
      <w:start w:val="1"/>
      <w:numFmt w:val="decimal"/>
      <w:lvlText w:val="%1."/>
      <w:lvlJc w:val="left"/>
      <w:pPr>
        <w:ind w:left="360" w:hanging="360"/>
      </w:pPr>
    </w:lvl>
    <w:lvl w:ilvl="1">
      <w:start w:val="1"/>
      <w:numFmt w:val="decimal"/>
      <w:lvlText w:val="%1.%2."/>
      <w:lvlJc w:val="left"/>
      <w:pPr>
        <w:ind w:left="432" w:hanging="432"/>
      </w:pPr>
      <w:rPr>
        <w:b/>
        <w:color w:val="0066FF"/>
        <w:sz w:val="24"/>
        <w:szCs w:val="24"/>
      </w:rPr>
    </w:lvl>
    <w:lvl w:ilvl="2">
      <w:start w:val="1"/>
      <w:numFmt w:val="decimal"/>
      <w:lvlText w:val="%1.%2.%3."/>
      <w:lvlJc w:val="left"/>
      <w:pPr>
        <w:ind w:left="1355"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3863D4E"/>
    <w:multiLevelType w:val="hybridMultilevel"/>
    <w:tmpl w:val="2026DD2C"/>
    <w:lvl w:ilvl="0" w:tplc="041F0011">
      <w:start w:val="1"/>
      <w:numFmt w:val="decimal"/>
      <w:lvlText w:val="%1)"/>
      <w:lvlJc w:val="left"/>
      <w:pPr>
        <w:ind w:left="720" w:hanging="360"/>
      </w:pPr>
      <w:rPr>
        <w:rFonts w:hint="default"/>
        <w:b w:val="0"/>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4A543743"/>
    <w:multiLevelType w:val="hybridMultilevel"/>
    <w:tmpl w:val="A3E4ED50"/>
    <w:lvl w:ilvl="0" w:tplc="0A52600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4FDB4D29"/>
    <w:multiLevelType w:val="hybridMultilevel"/>
    <w:tmpl w:val="BE763C3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5AEB417D"/>
    <w:multiLevelType w:val="hybridMultilevel"/>
    <w:tmpl w:val="4EE08066"/>
    <w:lvl w:ilvl="0" w:tplc="0A52600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65A07CE5"/>
    <w:multiLevelType w:val="multilevel"/>
    <w:tmpl w:val="77546E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6B712401"/>
    <w:multiLevelType w:val="hybridMultilevel"/>
    <w:tmpl w:val="F3B644E2"/>
    <w:lvl w:ilvl="0" w:tplc="700CEA5C">
      <w:start w:val="2"/>
      <w:numFmt w:val="bullet"/>
      <w:lvlText w:val="-"/>
      <w:lvlJc w:val="left"/>
      <w:pPr>
        <w:ind w:left="2221" w:hanging="360"/>
      </w:pPr>
      <w:rPr>
        <w:rFonts w:hint="default"/>
      </w:rPr>
    </w:lvl>
    <w:lvl w:ilvl="1" w:tplc="04090003" w:tentative="1">
      <w:start w:val="1"/>
      <w:numFmt w:val="bullet"/>
      <w:lvlText w:val="o"/>
      <w:lvlJc w:val="left"/>
      <w:pPr>
        <w:ind w:left="2941" w:hanging="360"/>
      </w:pPr>
      <w:rPr>
        <w:rFonts w:ascii="Courier New" w:hAnsi="Courier New" w:cs="Courier New" w:hint="default"/>
      </w:rPr>
    </w:lvl>
    <w:lvl w:ilvl="2" w:tplc="04090005" w:tentative="1">
      <w:start w:val="1"/>
      <w:numFmt w:val="bullet"/>
      <w:lvlText w:val=""/>
      <w:lvlJc w:val="left"/>
      <w:pPr>
        <w:ind w:left="3661" w:hanging="360"/>
      </w:pPr>
      <w:rPr>
        <w:rFonts w:ascii="Wingdings" w:hAnsi="Wingdings" w:hint="default"/>
      </w:rPr>
    </w:lvl>
    <w:lvl w:ilvl="3" w:tplc="04090001" w:tentative="1">
      <w:start w:val="1"/>
      <w:numFmt w:val="bullet"/>
      <w:lvlText w:val=""/>
      <w:lvlJc w:val="left"/>
      <w:pPr>
        <w:ind w:left="4381" w:hanging="360"/>
      </w:pPr>
      <w:rPr>
        <w:rFonts w:ascii="Symbol" w:hAnsi="Symbol" w:hint="default"/>
      </w:rPr>
    </w:lvl>
    <w:lvl w:ilvl="4" w:tplc="04090003" w:tentative="1">
      <w:start w:val="1"/>
      <w:numFmt w:val="bullet"/>
      <w:lvlText w:val="o"/>
      <w:lvlJc w:val="left"/>
      <w:pPr>
        <w:ind w:left="5101" w:hanging="360"/>
      </w:pPr>
      <w:rPr>
        <w:rFonts w:ascii="Courier New" w:hAnsi="Courier New" w:cs="Courier New" w:hint="default"/>
      </w:rPr>
    </w:lvl>
    <w:lvl w:ilvl="5" w:tplc="04090005" w:tentative="1">
      <w:start w:val="1"/>
      <w:numFmt w:val="bullet"/>
      <w:lvlText w:val=""/>
      <w:lvlJc w:val="left"/>
      <w:pPr>
        <w:ind w:left="5821" w:hanging="360"/>
      </w:pPr>
      <w:rPr>
        <w:rFonts w:ascii="Wingdings" w:hAnsi="Wingdings" w:hint="default"/>
      </w:rPr>
    </w:lvl>
    <w:lvl w:ilvl="6" w:tplc="04090001" w:tentative="1">
      <w:start w:val="1"/>
      <w:numFmt w:val="bullet"/>
      <w:lvlText w:val=""/>
      <w:lvlJc w:val="left"/>
      <w:pPr>
        <w:ind w:left="6541" w:hanging="360"/>
      </w:pPr>
      <w:rPr>
        <w:rFonts w:ascii="Symbol" w:hAnsi="Symbol" w:hint="default"/>
      </w:rPr>
    </w:lvl>
    <w:lvl w:ilvl="7" w:tplc="04090003" w:tentative="1">
      <w:start w:val="1"/>
      <w:numFmt w:val="bullet"/>
      <w:lvlText w:val="o"/>
      <w:lvlJc w:val="left"/>
      <w:pPr>
        <w:ind w:left="7261" w:hanging="360"/>
      </w:pPr>
      <w:rPr>
        <w:rFonts w:ascii="Courier New" w:hAnsi="Courier New" w:cs="Courier New" w:hint="default"/>
      </w:rPr>
    </w:lvl>
    <w:lvl w:ilvl="8" w:tplc="04090005" w:tentative="1">
      <w:start w:val="1"/>
      <w:numFmt w:val="bullet"/>
      <w:lvlText w:val=""/>
      <w:lvlJc w:val="left"/>
      <w:pPr>
        <w:ind w:left="7981" w:hanging="360"/>
      </w:pPr>
      <w:rPr>
        <w:rFonts w:ascii="Wingdings" w:hAnsi="Wingdings" w:hint="default"/>
      </w:rPr>
    </w:lvl>
  </w:abstractNum>
  <w:abstractNum w:abstractNumId="13">
    <w:nsid w:val="6FCC29FD"/>
    <w:multiLevelType w:val="multilevel"/>
    <w:tmpl w:val="3118D0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71714743"/>
    <w:multiLevelType w:val="multilevel"/>
    <w:tmpl w:val="DB002DB8"/>
    <w:lvl w:ilvl="0">
      <w:start w:val="5"/>
      <w:numFmt w:val="decimal"/>
      <w:lvlText w:val="%1."/>
      <w:lvlJc w:val="left"/>
      <w:pPr>
        <w:ind w:left="360" w:hanging="360"/>
      </w:pPr>
      <w:rPr>
        <w:rFonts w:hint="default"/>
      </w:rPr>
    </w:lvl>
    <w:lvl w:ilvl="1">
      <w:start w:val="5"/>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5">
    <w:nsid w:val="729F0712"/>
    <w:multiLevelType w:val="hybridMultilevel"/>
    <w:tmpl w:val="D49277A2"/>
    <w:lvl w:ilvl="0" w:tplc="700CEA5C">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6E75CA5"/>
    <w:multiLevelType w:val="hybridMultilevel"/>
    <w:tmpl w:val="CB82B3E4"/>
    <w:lvl w:ilvl="0" w:tplc="0A52600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7AC05CE0"/>
    <w:multiLevelType w:val="multilevel"/>
    <w:tmpl w:val="9684B60A"/>
    <w:lvl w:ilvl="0">
      <w:start w:val="5"/>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4"/>
  </w:num>
  <w:num w:numId="2">
    <w:abstractNumId w:val="13"/>
  </w:num>
  <w:num w:numId="3">
    <w:abstractNumId w:val="1"/>
  </w:num>
  <w:num w:numId="4">
    <w:abstractNumId w:val="11"/>
  </w:num>
  <w:num w:numId="5">
    <w:abstractNumId w:val="3"/>
  </w:num>
  <w:num w:numId="6">
    <w:abstractNumId w:val="15"/>
  </w:num>
  <w:num w:numId="7">
    <w:abstractNumId w:val="17"/>
  </w:num>
  <w:num w:numId="8">
    <w:abstractNumId w:val="12"/>
  </w:num>
  <w:num w:numId="9">
    <w:abstractNumId w:val="14"/>
  </w:num>
  <w:num w:numId="10">
    <w:abstractNumId w:val="7"/>
  </w:num>
  <w:num w:numId="11">
    <w:abstractNumId w:val="2"/>
  </w:num>
  <w:num w:numId="12">
    <w:abstractNumId w:val="8"/>
  </w:num>
  <w:num w:numId="13">
    <w:abstractNumId w:val="16"/>
  </w:num>
  <w:num w:numId="14">
    <w:abstractNumId w:val="6"/>
  </w:num>
  <w:num w:numId="15">
    <w:abstractNumId w:val="5"/>
  </w:num>
  <w:num w:numId="16">
    <w:abstractNumId w:val="10"/>
  </w:num>
  <w:num w:numId="17">
    <w:abstractNumId w:val="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4D4BB0-F9CC-4B39-94DF-DBAAF69CA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000FF"/>
      <w:u w:val="single"/>
    </w:rPr>
  </w:style>
  <w:style w:type="paragraph" w:styleId="GvdeMetni">
    <w:name w:val="Body Text"/>
    <w:basedOn w:val="Normal"/>
    <w:link w:val="GvdeMetniChar"/>
    <w:uiPriority w:val="99"/>
    <w:semiHidden/>
    <w:unhideWhenUsed/>
    <w:pPr>
      <w:spacing w:after="120"/>
    </w:pPr>
  </w:style>
  <w:style w:type="character" w:customStyle="1" w:styleId="GvdeMetniChar">
    <w:name w:val="Gövde Metni Char"/>
    <w:basedOn w:val="VarsaylanParagrafYazTipi"/>
    <w:link w:val="GvdeMetni"/>
    <w:uiPriority w:val="99"/>
    <w:semiHidden/>
    <w:rPr>
      <w:rFonts w:ascii="Calibri" w:eastAsia="Calibri" w:hAnsi="Calibri" w:cs="Times New Roman"/>
    </w:rPr>
  </w:style>
  <w:style w:type="paragraph" w:styleId="GvdeMetniGirintisi">
    <w:name w:val="Body Text Indent"/>
    <w:basedOn w:val="Normal"/>
    <w:link w:val="GvdeMetniGirintisiChar"/>
    <w:uiPriority w:val="99"/>
    <w:semiHidden/>
    <w:unhideWhenUsed/>
    <w:pPr>
      <w:spacing w:after="120"/>
      <w:ind w:left="283"/>
    </w:pPr>
  </w:style>
  <w:style w:type="character" w:customStyle="1" w:styleId="GvdeMetniGirintisiChar">
    <w:name w:val="Gövde Metni Girintisi Char"/>
    <w:basedOn w:val="VarsaylanParagrafYazTipi"/>
    <w:link w:val="GvdeMetniGirintisi"/>
    <w:uiPriority w:val="99"/>
    <w:semiHidden/>
    <w:rPr>
      <w:rFonts w:ascii="Calibri" w:eastAsia="Calibri" w:hAnsi="Calibri" w:cs="Times New Roman"/>
    </w:r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bilgi Char"/>
    <w:basedOn w:val="VarsaylanParagrafYazTipi"/>
    <w:link w:val="stbilgi"/>
    <w:uiPriority w:val="99"/>
    <w:rPr>
      <w:rFonts w:ascii="Calibri" w:eastAsia="Calibri" w:hAnsi="Calibri" w:cs="Times New Roman"/>
    </w:rPr>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bilgi Char"/>
    <w:basedOn w:val="VarsaylanParagrafYazTipi"/>
    <w:link w:val="Altbilgi"/>
    <w:uiPriority w:val="99"/>
    <w:rPr>
      <w:rFonts w:ascii="Calibri" w:eastAsia="Calibri" w:hAnsi="Calibri" w:cs="Times New Roman"/>
    </w:rPr>
  </w:style>
  <w:style w:type="table" w:styleId="TabloKlavuzu">
    <w:name w:val="Table Grid"/>
    <w:basedOn w:val="NormalTablo"/>
    <w:uiPriority w:val="39"/>
    <w:pPr>
      <w:spacing w:after="0" w:line="240" w:lineRule="auto"/>
    </w:pPr>
    <w:rPr>
      <w:color w:val="595959" w:themeColor="text1" w:themeTint="A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
    <w:name w:val="Tablo Kılavuzu1"/>
    <w:basedOn w:val="NormalTablo"/>
    <w:next w:val="TabloKlavuzu"/>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eastAsia="Calibri" w:hAnsi="Segoe UI" w:cs="Segoe UI"/>
      <w:sz w:val="18"/>
      <w:szCs w:val="18"/>
    </w:rPr>
  </w:style>
  <w:style w:type="character" w:styleId="Gl">
    <w:name w:val="Strong"/>
    <w:basedOn w:val="VarsaylanParagrafYazTipi"/>
    <w:uiPriority w:val="22"/>
    <w:qFormat/>
    <w:rPr>
      <w:b/>
      <w:bCs/>
    </w:rPr>
  </w:style>
  <w:style w:type="table" w:customStyle="1" w:styleId="TableGrid">
    <w:name w:val="TableGrid"/>
    <w:pPr>
      <w:spacing w:after="0" w:line="240" w:lineRule="auto"/>
    </w:pPr>
    <w:rPr>
      <w:rFonts w:eastAsiaTheme="minorEastAsia"/>
      <w:kern w:val="2"/>
    </w:rPr>
    <w:tblPr>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0" w:type="dxa"/>
        <w:left w:w="115" w:type="dxa"/>
        <w:bottom w:w="0" w:type="dxa"/>
        <w:right w:w="115" w:type="dxa"/>
      </w:tblCellMar>
    </w:tblPr>
  </w:style>
  <w:style w:type="table" w:customStyle="1" w:styleId="a0">
    <w:basedOn w:val="TableNormal1"/>
    <w:pPr>
      <w:spacing w:after="0" w:line="240" w:lineRule="auto"/>
    </w:pPr>
    <w:tblPr>
      <w:tblStyleRowBandSize w:val="1"/>
      <w:tblStyleColBandSize w:val="1"/>
      <w:tblCellMar>
        <w:top w:w="0" w:type="dxa"/>
        <w:left w:w="23" w:type="dxa"/>
        <w:bottom w:w="0" w:type="dxa"/>
        <w:right w:w="29" w:type="dxa"/>
      </w:tblCellMar>
    </w:tblPr>
  </w:style>
  <w:style w:type="table" w:customStyle="1" w:styleId="a1">
    <w:basedOn w:val="TableNormal1"/>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2">
    <w:basedOn w:val="TableNormal1"/>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3">
    <w:basedOn w:val="TableNormal1"/>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4">
    <w:basedOn w:val="TableNormal1"/>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5">
    <w:basedOn w:val="TableNormal1"/>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6">
    <w:basedOn w:val="TableNormal1"/>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7">
    <w:basedOn w:val="TableNormal1"/>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8">
    <w:basedOn w:val="TableNormal1"/>
    <w:pPr>
      <w:spacing w:after="0" w:line="240" w:lineRule="auto"/>
    </w:pPr>
    <w:rPr>
      <w:color w:val="595959"/>
    </w:rPr>
    <w:tblPr>
      <w:tblStyleRowBandSize w:val="1"/>
      <w:tblStyleColBandSize w:val="1"/>
      <w:tblCellMar>
        <w:top w:w="0" w:type="dxa"/>
        <w:left w:w="108" w:type="dxa"/>
        <w:bottom w:w="0" w:type="dxa"/>
        <w:right w:w="108" w:type="dxa"/>
      </w:tblCellMar>
    </w:tblPr>
  </w:style>
  <w:style w:type="paragraph" w:customStyle="1" w:styleId="cvgsua">
    <w:name w:val="cvgsua"/>
    <w:basedOn w:val="Normal"/>
    <w:pPr>
      <w:spacing w:before="100" w:beforeAutospacing="1" w:after="100" w:afterAutospacing="1" w:line="240" w:lineRule="auto"/>
    </w:pPr>
    <w:rPr>
      <w:rFonts w:ascii="Times New Roman" w:eastAsia="Times New Roman" w:hAnsi="Times New Roman"/>
      <w:sz w:val="24"/>
      <w:szCs w:val="24"/>
    </w:rPr>
  </w:style>
  <w:style w:type="character" w:customStyle="1" w:styleId="oypena">
    <w:name w:val="oypena"/>
    <w:basedOn w:val="VarsaylanParagrafYazTipi"/>
  </w:style>
  <w:style w:type="table" w:customStyle="1" w:styleId="a9">
    <w:basedOn w:val="TableNormal0"/>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b">
    <w:basedOn w:val="TableNormal0"/>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c">
    <w:basedOn w:val="TableNormal0"/>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d">
    <w:basedOn w:val="TableNormal0"/>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TabloKlavuzu3">
    <w:name w:val="Tablo Kılavuzu3"/>
    <w:basedOn w:val="NormalTablo"/>
    <w:next w:val="TabloKlavuzu"/>
    <w:uiPriority w:val="39"/>
    <w:pPr>
      <w:spacing w:after="0" w:line="240" w:lineRule="auto"/>
    </w:pPr>
    <w:rPr>
      <w:color w:val="595959" w:themeColor="text1" w:themeTint="A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pPr>
      <w:spacing w:after="0" w:line="240" w:lineRule="auto"/>
    </w:pPr>
    <w:rPr>
      <w:rFonts w:cs="Times New Roman"/>
    </w:rPr>
  </w:style>
  <w:style w:type="paragraph" w:customStyle="1" w:styleId="Default">
    <w:name w:val="Default"/>
    <w:pPr>
      <w:autoSpaceDE w:val="0"/>
      <w:autoSpaceDN w:val="0"/>
      <w:adjustRightInd w:val="0"/>
      <w:spacing w:after="0" w:line="240" w:lineRule="auto"/>
    </w:pPr>
    <w:rPr>
      <w:rFonts w:eastAsia="Times New Roman"/>
      <w:color w:val="000000"/>
      <w:sz w:val="24"/>
      <w:szCs w:val="24"/>
    </w:rPr>
  </w:style>
  <w:style w:type="character" w:customStyle="1" w:styleId="Gvdemetni2Kaln">
    <w:name w:val="Gövde metni (2) + Kalın"/>
    <w:basedOn w:val="VarsaylanParagrafYazTipi"/>
    <w:rPr>
      <w:rFonts w:ascii="Times New Roman" w:eastAsia="Times New Roman" w:hAnsi="Times New Roman" w:cs="Times New Roman"/>
      <w:b/>
      <w:bCs/>
      <w:i w:val="0"/>
      <w:iCs w:val="0"/>
      <w:smallCaps w:val="0"/>
      <w:strike w:val="0"/>
      <w:color w:val="000000"/>
      <w:spacing w:val="0"/>
      <w:w w:val="100"/>
      <w:position w:val="0"/>
      <w:sz w:val="24"/>
      <w:szCs w:val="24"/>
      <w:u w:val="none"/>
      <w:lang w:val="tr-TR" w:eastAsia="tr-TR" w:bidi="tr-TR"/>
    </w:rPr>
  </w:style>
  <w:style w:type="table" w:styleId="TabloKlavuzuAk">
    <w:name w:val="Grid Table Light"/>
    <w:basedOn w:val="NormalTablo"/>
    <w:uiPriority w:val="40"/>
    <w:pPr>
      <w:spacing w:after="0" w:line="240" w:lineRule="auto"/>
    </w:pPr>
    <w:rPr>
      <w:rFonts w:asciiTheme="minorHAnsi" w:eastAsiaTheme="minorHAnsi" w:hAnsiTheme="minorHAnsi" w:cstheme="minorBidi"/>
      <w:lang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4c/dua2CL2IZAM9QdPsL0YXgpg==">CgMxLjAyCWguMWZvYjl0ZTgAciExQVVBT1dHblIyY3ZXTEZWZTBXeUhGRXlhSEI2cFJoSEE=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7</Pages>
  <Words>2031</Words>
  <Characters>11578</Characters>
  <Application>Microsoft Office Word</Application>
  <DocSecurity>0</DocSecurity>
  <Lines>96</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 Kalite ve Akreditasyon Koordinatörlüğü</dc:title>
  <dc:creator>DİLEK YALÇIN</dc:creator>
  <cp:lastModifiedBy>Microsoft hesabı</cp:lastModifiedBy>
  <cp:revision>19</cp:revision>
  <cp:lastPrinted>2024-10-25T11:45:00Z</cp:lastPrinted>
  <dcterms:created xsi:type="dcterms:W3CDTF">2024-10-21T12:07:00Z</dcterms:created>
  <dcterms:modified xsi:type="dcterms:W3CDTF">2025-01-04T16:24:00Z</dcterms:modified>
</cp:coreProperties>
</file>