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BE7CB" w14:textId="77777777" w:rsidR="00346EFC" w:rsidRDefault="00BA191A">
      <w:pPr>
        <w:jc w:val="center"/>
        <w:rPr>
          <w:rFonts w:hint="eastAsia"/>
        </w:rPr>
      </w:pPr>
      <w:r>
        <w:rPr>
          <w:b/>
          <w:color w:val="931B2B"/>
          <w:sz w:val="26"/>
        </w:rPr>
        <w:t>BAŞKENT ÜNİVERSİTESİ</w:t>
      </w:r>
    </w:p>
    <w:p w14:paraId="4AD839BA" w14:textId="77777777" w:rsidR="00346EFC" w:rsidRDefault="00BA191A">
      <w:pPr>
        <w:jc w:val="center"/>
        <w:rPr>
          <w:rFonts w:hint="eastAsia"/>
        </w:rPr>
      </w:pPr>
      <w:r>
        <w:rPr>
          <w:b/>
          <w:sz w:val="24"/>
        </w:rPr>
        <w:t>İÇ HUSUSLAR DEĞERLENDIRME TABLOSU</w:t>
      </w:r>
    </w:p>
    <w:p w14:paraId="642B6C76" w14:textId="77777777" w:rsidR="00346EFC" w:rsidRPr="00D25D0A" w:rsidRDefault="00BA191A">
      <w:pPr>
        <w:jc w:val="center"/>
        <w:rPr>
          <w:rFonts w:hint="eastAsia"/>
          <w:sz w:val="22"/>
        </w:rPr>
      </w:pPr>
      <w:r w:rsidRPr="00D25D0A">
        <w:rPr>
          <w:i/>
          <w:sz w:val="22"/>
        </w:rPr>
        <w:t>Dayanak: Kalite El Kitabı – 4.1.1 İç Hususlar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061"/>
        <w:gridCol w:w="5726"/>
        <w:gridCol w:w="3742"/>
      </w:tblGrid>
      <w:tr w:rsidR="00346EFC" w14:paraId="46E7E689" w14:textId="77777777">
        <w:trPr>
          <w:jc w:val="center"/>
        </w:trPr>
        <w:tc>
          <w:tcPr>
            <w:tcW w:w="2381" w:type="dxa"/>
            <w:shd w:val="clear" w:color="auto" w:fill="942A3B"/>
          </w:tcPr>
          <w:p w14:paraId="70ECC72D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color w:val="FFFFFF"/>
                <w:sz w:val="22"/>
              </w:rPr>
              <w:t>Husus</w:t>
            </w:r>
          </w:p>
        </w:tc>
        <w:tc>
          <w:tcPr>
            <w:tcW w:w="3061" w:type="dxa"/>
            <w:shd w:val="clear" w:color="auto" w:fill="942A3B"/>
          </w:tcPr>
          <w:p w14:paraId="46A20128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color w:val="FFFFFF"/>
                <w:sz w:val="22"/>
              </w:rPr>
              <w:t>Kurumsal Etkisi</w:t>
            </w:r>
          </w:p>
        </w:tc>
        <w:tc>
          <w:tcPr>
            <w:tcW w:w="5726" w:type="dxa"/>
            <w:shd w:val="clear" w:color="auto" w:fill="942A3B"/>
          </w:tcPr>
          <w:p w14:paraId="50134674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color w:val="FFFFFF"/>
                <w:sz w:val="22"/>
              </w:rPr>
              <w:t>Değerlendirme ve Mevcut Uygulamalar</w:t>
            </w:r>
          </w:p>
        </w:tc>
        <w:tc>
          <w:tcPr>
            <w:tcW w:w="3742" w:type="dxa"/>
            <w:shd w:val="clear" w:color="auto" w:fill="942A3B"/>
          </w:tcPr>
          <w:p w14:paraId="0E82B1B3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color w:val="FFFFFF"/>
                <w:sz w:val="22"/>
              </w:rPr>
              <w:t>İlgili Doküman / İzleme Kaynağı</w:t>
            </w:r>
          </w:p>
        </w:tc>
      </w:tr>
      <w:tr w:rsidR="00346EFC" w14:paraId="1971E1BE" w14:textId="77777777">
        <w:trPr>
          <w:jc w:val="center"/>
        </w:trPr>
        <w:tc>
          <w:tcPr>
            <w:tcW w:w="2381" w:type="dxa"/>
            <w:vAlign w:val="center"/>
          </w:tcPr>
          <w:p w14:paraId="4983ECB0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Misyon ve vizyon</w:t>
            </w:r>
          </w:p>
        </w:tc>
        <w:tc>
          <w:tcPr>
            <w:tcW w:w="3061" w:type="dxa"/>
            <w:vAlign w:val="center"/>
          </w:tcPr>
          <w:p w14:paraId="651BEA63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 xml:space="preserve">Kurumsal önceliklerin ve stratejik yönün </w:t>
            </w:r>
            <w:r w:rsidRPr="00D25D0A">
              <w:rPr>
                <w:sz w:val="22"/>
              </w:rPr>
              <w:t>belirlenmesi</w:t>
            </w:r>
          </w:p>
        </w:tc>
        <w:tc>
          <w:tcPr>
            <w:tcW w:w="5726" w:type="dxa"/>
            <w:vAlign w:val="center"/>
          </w:tcPr>
          <w:p w14:paraId="7AFBB89E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Misyon ve vizyonun stratejik amaç ve hedeflerle ilişkilendirilmesi; sonuçların kurumsal değerlendirmelerde ele alınması.</w:t>
            </w:r>
          </w:p>
        </w:tc>
        <w:tc>
          <w:tcPr>
            <w:tcW w:w="3742" w:type="dxa"/>
            <w:vAlign w:val="center"/>
          </w:tcPr>
          <w:p w14:paraId="25E691BE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2023–2033 Stratejik Plan; STRASİS; KİDR; YGG</w:t>
            </w:r>
          </w:p>
        </w:tc>
      </w:tr>
      <w:tr w:rsidR="00346EFC" w14:paraId="786D1049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40EE06F2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Temel değerler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068D525A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 xml:space="preserve">Karar alma, hizmet sunumu ve kurum içi davranış </w:t>
            </w:r>
            <w:r w:rsidRPr="00D25D0A">
              <w:rPr>
                <w:sz w:val="22"/>
              </w:rPr>
              <w:t>ilkeleri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769CF16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Temel değerlerin politika ve kurumsal uygulamalarda esas alınması; paydaş görüşlerinin değerlendirilmesi.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7DE5EAC9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Kalite El Kitabı; kurumsal politikalar; anket sonuçları; KİDR</w:t>
            </w:r>
          </w:p>
        </w:tc>
      </w:tr>
      <w:tr w:rsidR="00346EFC" w14:paraId="2C2DB4FD" w14:textId="77777777">
        <w:trPr>
          <w:jc w:val="center"/>
        </w:trPr>
        <w:tc>
          <w:tcPr>
            <w:tcW w:w="2381" w:type="dxa"/>
            <w:vAlign w:val="center"/>
          </w:tcPr>
          <w:p w14:paraId="0B16B6AF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Organizasyon yapısı</w:t>
            </w:r>
          </w:p>
        </w:tc>
        <w:tc>
          <w:tcPr>
            <w:tcW w:w="3061" w:type="dxa"/>
            <w:vAlign w:val="center"/>
          </w:tcPr>
          <w:p w14:paraId="016B1C4A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Yetki, sorumluluk, iletişim ve karar süreçlerinin işleyişi</w:t>
            </w:r>
          </w:p>
        </w:tc>
        <w:tc>
          <w:tcPr>
            <w:tcW w:w="5726" w:type="dxa"/>
            <w:vAlign w:val="center"/>
          </w:tcPr>
          <w:p w14:paraId="0528E5A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Kurul, komisyon ve birimlerin görevlerinin tanımlanması; organizasyonel ihtiyaçların ilgili yönetim süreçlerinde ele alınması.</w:t>
            </w:r>
          </w:p>
        </w:tc>
        <w:tc>
          <w:tcPr>
            <w:tcW w:w="3742" w:type="dxa"/>
            <w:vAlign w:val="center"/>
          </w:tcPr>
          <w:p w14:paraId="0CFEF5F0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Organizasyon şemaları; görev tanımları; ilgili yönergeler; YGG</w:t>
            </w:r>
          </w:p>
        </w:tc>
      </w:tr>
      <w:tr w:rsidR="00346EFC" w14:paraId="45F96A76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70851C5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Organizasyon performansı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3D9D1E22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Hedeflere ulaşma ve süreçlerin etkinliğ</w:t>
            </w:r>
            <w:r w:rsidRPr="00D25D0A">
              <w:rPr>
                <w:sz w:val="22"/>
              </w:rPr>
              <w:t>i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4F99C0D0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Stratejik hedefler ve süreç performans göstergelerinin değerlendirilmesi; sapmaların ilgili birimlerde ele alınması.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5886C9D2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STRASİS; süreç kartları ve performans kayıtları; YGG; KİDR</w:t>
            </w:r>
          </w:p>
        </w:tc>
      </w:tr>
      <w:tr w:rsidR="00346EFC" w14:paraId="51AB486B" w14:textId="77777777">
        <w:trPr>
          <w:jc w:val="center"/>
        </w:trPr>
        <w:tc>
          <w:tcPr>
            <w:tcW w:w="2381" w:type="dxa"/>
            <w:vAlign w:val="center"/>
          </w:tcPr>
          <w:p w14:paraId="0C75FD4C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Sunulan hizmetler</w:t>
            </w:r>
          </w:p>
        </w:tc>
        <w:tc>
          <w:tcPr>
            <w:tcW w:w="3061" w:type="dxa"/>
            <w:vAlign w:val="center"/>
          </w:tcPr>
          <w:p w14:paraId="25830A94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 xml:space="preserve">Eğitim-öğretim, araştırma, toplumsal katkı ve idari </w:t>
            </w:r>
            <w:r w:rsidRPr="00D25D0A">
              <w:rPr>
                <w:sz w:val="22"/>
              </w:rPr>
              <w:t>hizmetlerin niteliği</w:t>
            </w:r>
          </w:p>
        </w:tc>
        <w:tc>
          <w:tcPr>
            <w:tcW w:w="5726" w:type="dxa"/>
            <w:vAlign w:val="center"/>
          </w:tcPr>
          <w:p w14:paraId="2F398B8F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Hizmetlere ilişkin sonuçların süreç yönetimi ve iç değerlendirme kapsamında incelenmesi; geri bildirimlerin değerlendirilmesi.</w:t>
            </w:r>
          </w:p>
        </w:tc>
        <w:tc>
          <w:tcPr>
            <w:tcW w:w="3742" w:type="dxa"/>
            <w:vAlign w:val="center"/>
          </w:tcPr>
          <w:p w14:paraId="4DABC4D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Süreç El Kitabı; BÖDR; KİDR; anket sonuçları; iç tetkik raporları</w:t>
            </w:r>
          </w:p>
        </w:tc>
      </w:tr>
      <w:tr w:rsidR="00346EFC" w14:paraId="11F40DF6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33060252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Paydaşların ihtiyaç ve beklentileri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0893C84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Hizme</w:t>
            </w:r>
            <w:r w:rsidRPr="00D25D0A">
              <w:rPr>
                <w:sz w:val="22"/>
              </w:rPr>
              <w:t>t öncelikleri, memnuniyet ve kurumsal kararlar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28770005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İlgili tarafların ihtiyaç ve beklentilerinin paydaş analizi ve geri bildirim kanallarıyla belirlenmesi ve ilgili süreçlerde değerlendirilmesi.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78488A71" w14:textId="77777777" w:rsidR="00346EFC" w:rsidRPr="00D25D0A" w:rsidRDefault="00BA191A">
            <w:pPr>
              <w:rPr>
                <w:rFonts w:hint="eastAsia"/>
                <w:sz w:val="22"/>
              </w:rPr>
            </w:pPr>
            <w:proofErr w:type="gramStart"/>
            <w:r w:rsidRPr="00D25D0A">
              <w:rPr>
                <w:sz w:val="22"/>
              </w:rPr>
              <w:t>BÜ.PRSD</w:t>
            </w:r>
            <w:proofErr w:type="gramEnd"/>
            <w:r w:rsidRPr="00D25D0A">
              <w:rPr>
                <w:sz w:val="22"/>
              </w:rPr>
              <w:t>.09; BÜKAK.KLV.01; BÜKAK.FRM.19; anket kayıtları</w:t>
            </w:r>
          </w:p>
        </w:tc>
      </w:tr>
      <w:tr w:rsidR="00346EFC" w14:paraId="093701AB" w14:textId="77777777">
        <w:trPr>
          <w:jc w:val="center"/>
        </w:trPr>
        <w:tc>
          <w:tcPr>
            <w:tcW w:w="2381" w:type="dxa"/>
            <w:vAlign w:val="center"/>
          </w:tcPr>
          <w:p w14:paraId="5AC8420D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Kurum kül</w:t>
            </w:r>
            <w:r w:rsidRPr="00D25D0A">
              <w:rPr>
                <w:b/>
                <w:sz w:val="22"/>
              </w:rPr>
              <w:t>türü</w:t>
            </w:r>
          </w:p>
        </w:tc>
        <w:tc>
          <w:tcPr>
            <w:tcW w:w="3061" w:type="dxa"/>
            <w:vAlign w:val="center"/>
          </w:tcPr>
          <w:p w14:paraId="4F9AC29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Katılım, iş birliği ve kalite yönetimi yaklaşımının benimsenmesi</w:t>
            </w:r>
          </w:p>
        </w:tc>
        <w:tc>
          <w:tcPr>
            <w:tcW w:w="5726" w:type="dxa"/>
            <w:vAlign w:val="center"/>
          </w:tcPr>
          <w:p w14:paraId="7F27FAD6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Kurul ve komisyon çalışmaları, eğitimler ve paydaş katılımı yoluyla kurumsal uygulamaların değerlendirilmesi.</w:t>
            </w:r>
          </w:p>
        </w:tc>
        <w:tc>
          <w:tcPr>
            <w:tcW w:w="3742" w:type="dxa"/>
            <w:vAlign w:val="center"/>
          </w:tcPr>
          <w:p w14:paraId="3BCED7BB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Kalite Komisyonu kayıtları; eğitim kayıtları; KİDR; BÖDR</w:t>
            </w:r>
          </w:p>
        </w:tc>
      </w:tr>
      <w:tr w:rsidR="00346EFC" w14:paraId="02BF91B5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1E47C3B5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Kurumsal hafıza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422BAE4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Bilgi sürekliliği, izlenebilirlik ve kurumsal öğrenme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20C9A420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Doküman ve kayıtların tanımlı yöntemlerle yönetilmesi; geçmiş değerlendirmelerin sonraki planlama çalışmalarına girdi oluşturması.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72AA1A4B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Dokümante edilmiş bilgi ve kayıt prosedürleri; EBYS; KİDR; YGG</w:t>
            </w:r>
          </w:p>
        </w:tc>
      </w:tr>
      <w:tr w:rsidR="00346EFC" w14:paraId="18284E7F" w14:textId="77777777">
        <w:trPr>
          <w:jc w:val="center"/>
        </w:trPr>
        <w:tc>
          <w:tcPr>
            <w:tcW w:w="2381" w:type="dxa"/>
            <w:vAlign w:val="center"/>
          </w:tcPr>
          <w:p w14:paraId="0A4573F2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Kaynakl</w:t>
            </w:r>
            <w:r w:rsidRPr="00D25D0A">
              <w:rPr>
                <w:b/>
                <w:sz w:val="22"/>
              </w:rPr>
              <w:t>ar</w:t>
            </w:r>
          </w:p>
        </w:tc>
        <w:tc>
          <w:tcPr>
            <w:tcW w:w="3061" w:type="dxa"/>
            <w:vAlign w:val="center"/>
          </w:tcPr>
          <w:p w14:paraId="257DBE52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İnsan kaynağı, mali ve diğer kaynakların yeterliliği</w:t>
            </w:r>
          </w:p>
        </w:tc>
        <w:tc>
          <w:tcPr>
            <w:tcW w:w="5726" w:type="dxa"/>
            <w:vAlign w:val="center"/>
          </w:tcPr>
          <w:p w14:paraId="63FB0B1F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Kaynak ihtiyaçlarının ilgili yönetim ve planlama süreçlerinde değerlendirilmesi; performans ve geri bildirim sonuçlarının dikkate alınması.</w:t>
            </w:r>
          </w:p>
        </w:tc>
        <w:tc>
          <w:tcPr>
            <w:tcW w:w="3742" w:type="dxa"/>
            <w:vAlign w:val="center"/>
          </w:tcPr>
          <w:p w14:paraId="30E68FD3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Stratejik Plan; ilgili süreç kayıtları; YGG; birim değerlend</w:t>
            </w:r>
            <w:r w:rsidRPr="00D25D0A">
              <w:rPr>
                <w:sz w:val="22"/>
              </w:rPr>
              <w:t>irmeleri</w:t>
            </w:r>
          </w:p>
        </w:tc>
      </w:tr>
      <w:tr w:rsidR="00346EFC" w14:paraId="04C4DBDD" w14:textId="77777777">
        <w:trPr>
          <w:jc w:val="center"/>
        </w:trPr>
        <w:tc>
          <w:tcPr>
            <w:tcW w:w="2381" w:type="dxa"/>
            <w:shd w:val="clear" w:color="auto" w:fill="F6F3F3"/>
            <w:vAlign w:val="center"/>
          </w:tcPr>
          <w:p w14:paraId="5D58247E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b/>
                <w:sz w:val="22"/>
              </w:rPr>
              <w:t>Altyapı</w:t>
            </w:r>
          </w:p>
        </w:tc>
        <w:tc>
          <w:tcPr>
            <w:tcW w:w="3061" w:type="dxa"/>
            <w:shd w:val="clear" w:color="auto" w:fill="F6F3F3"/>
            <w:vAlign w:val="center"/>
          </w:tcPr>
          <w:p w14:paraId="197CE51F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Fiziksel ve dijital hizmet sürekliliği, erişilebilirlik</w:t>
            </w:r>
          </w:p>
        </w:tc>
        <w:tc>
          <w:tcPr>
            <w:tcW w:w="5726" w:type="dxa"/>
            <w:shd w:val="clear" w:color="auto" w:fill="F6F3F3"/>
            <w:vAlign w:val="center"/>
          </w:tcPr>
          <w:p w14:paraId="676E8697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>Altyapı ihtiyaçlarının ve hizmetlere etkilerinin ilgili birimlerce değerlendirilmesi; belirlenen ihtiyaçların planlama süreçlerine aktarılması.</w:t>
            </w:r>
          </w:p>
        </w:tc>
        <w:tc>
          <w:tcPr>
            <w:tcW w:w="3742" w:type="dxa"/>
            <w:shd w:val="clear" w:color="auto" w:fill="F6F3F3"/>
            <w:vAlign w:val="center"/>
          </w:tcPr>
          <w:p w14:paraId="162E2EC4" w14:textId="77777777" w:rsidR="00346EFC" w:rsidRPr="00D25D0A" w:rsidRDefault="00BA191A">
            <w:pPr>
              <w:rPr>
                <w:rFonts w:hint="eastAsia"/>
                <w:sz w:val="22"/>
              </w:rPr>
            </w:pPr>
            <w:r w:rsidRPr="00D25D0A">
              <w:rPr>
                <w:sz w:val="22"/>
              </w:rPr>
              <w:t xml:space="preserve">İlgili süreç kartları; birim </w:t>
            </w:r>
            <w:r w:rsidRPr="00D25D0A">
              <w:rPr>
                <w:sz w:val="22"/>
              </w:rPr>
              <w:t>faaliyet kayıtları; anketler; YGG</w:t>
            </w:r>
          </w:p>
        </w:tc>
      </w:tr>
    </w:tbl>
    <w:p w14:paraId="0F336BC7" w14:textId="77777777" w:rsidR="00346EFC" w:rsidRDefault="00BA191A">
      <w:pPr>
        <w:spacing w:before="180"/>
        <w:rPr>
          <w:rFonts w:hint="eastAsia"/>
        </w:rPr>
      </w:pPr>
      <w:r>
        <w:t xml:space="preserve">Değerlendirme yaklaşımı: İç ve dış hususlara ilişkin bilgiler, tabloda belirtilen mevcut kurumsal kayıtlar ve değerlendirme mekanizmaları üzerinden gözden geçirilir. Bu tablo ayrı bir izleme veya iyileştirme </w:t>
      </w:r>
      <w:r>
        <w:t>sistemi oluşturmaz.</w:t>
      </w:r>
    </w:p>
    <w:sectPr w:rsidR="00346EFC" w:rsidSect="00034616">
      <w:footerReference w:type="default" r:id="rId8"/>
      <w:pgSz w:w="16838" w:h="11906" w:orient="landscape"/>
      <w:pgMar w:top="510" w:right="907" w:bottom="56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E28C8" w14:textId="77777777" w:rsidR="00000000" w:rsidRDefault="00BA191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A83961A" w14:textId="77777777" w:rsidR="00000000" w:rsidRDefault="00BA191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C5C6" w14:textId="77777777" w:rsidR="00346EFC" w:rsidRDefault="00BA191A">
    <w:pPr>
      <w:pStyle w:val="AltBilgi"/>
      <w:jc w:val="center"/>
      <w:rPr>
        <w:rFonts w:hint="eastAsia"/>
      </w:rPr>
    </w:pPr>
    <w:r>
      <w:t>Başkent Üniversitesi | Bütünleşik Kalite Yönetim Sistemi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A7780" w14:textId="77777777" w:rsidR="00000000" w:rsidRDefault="00BA191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518538" w14:textId="77777777" w:rsidR="00000000" w:rsidRDefault="00BA191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6EFC"/>
    <w:rsid w:val="00AA1D8D"/>
    <w:rsid w:val="00B47730"/>
    <w:rsid w:val="00BA191A"/>
    <w:rsid w:val="00CB0664"/>
    <w:rsid w:val="00D25D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9E8F9"/>
  <w14:defaultImageDpi w14:val="300"/>
  <w15:docId w15:val="{C88E8005-C381-4B9E-9AAE-6FCD41B3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3</cp:revision>
  <dcterms:created xsi:type="dcterms:W3CDTF">2026-10-30T07:22:00Z</dcterms:created>
  <dcterms:modified xsi:type="dcterms:W3CDTF">2026-10-30T07:23:00Z</dcterms:modified>
  <cp:category/>
</cp:coreProperties>
</file>